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OLE_LINK2"/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年度广东省农业技术推广奖拟推荐项目公示</w:t>
      </w:r>
      <w:bookmarkEnd w:id="0"/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根据广东省农业农村厅办公室《关于组织申报201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年度广东省农业技术推广奖项目的通知》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0"/>
        </w:rPr>
        <w:t>粤农农办</w:t>
      </w:r>
      <w:r>
        <w:rPr>
          <w:rFonts w:hint="eastAsia" w:ascii="仿宋_GB2312" w:hAnsi="宋体" w:eastAsia="仿宋_GB2312"/>
          <w:bCs/>
          <w:spacing w:val="-6"/>
          <w:sz w:val="32"/>
          <w:szCs w:val="30"/>
        </w:rPr>
        <w:t>〔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0"/>
        </w:rPr>
        <w:t>201</w:t>
      </w:r>
      <w:r>
        <w:rPr>
          <w:rFonts w:ascii="仿宋_GB2312" w:hAnsi="宋体" w:eastAsia="仿宋_GB2312" w:cs="宋体"/>
          <w:spacing w:val="-6"/>
          <w:kern w:val="0"/>
          <w:sz w:val="32"/>
          <w:szCs w:val="30"/>
        </w:rPr>
        <w:t>9</w:t>
      </w:r>
      <w:r>
        <w:rPr>
          <w:rFonts w:hint="eastAsia" w:ascii="仿宋_GB2312" w:hAnsi="宋体" w:eastAsia="仿宋_GB2312"/>
          <w:bCs/>
          <w:spacing w:val="-6"/>
          <w:sz w:val="32"/>
          <w:szCs w:val="30"/>
        </w:rPr>
        <w:t>〕1</w:t>
      </w:r>
      <w:r>
        <w:rPr>
          <w:rFonts w:ascii="仿宋_GB2312" w:hAnsi="宋体" w:eastAsia="仿宋_GB2312"/>
          <w:bCs/>
          <w:spacing w:val="-6"/>
          <w:sz w:val="32"/>
          <w:szCs w:val="30"/>
        </w:rPr>
        <w:t>08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0"/>
        </w:rPr>
        <w:t>号</w:t>
      </w:r>
      <w:r>
        <w:rPr>
          <w:rFonts w:hint="eastAsia" w:ascii="仿宋" w:hAnsi="仿宋" w:eastAsia="仿宋"/>
          <w:sz w:val="32"/>
          <w:szCs w:val="32"/>
        </w:rPr>
        <w:t>）要求，现将省林业局拟推荐</w:t>
      </w: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年度广东省农业技术推广奖项目予以公示（详情见以下附件），公示期为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任何单位或个人对公布项目持有异议的，应当在公示期内以书面方式实名向省林业局反映，并提供必要的证明材料。凡匿名、冒名或超出期限的异议不予受理。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联系电话：020-81812689，传真：020－81955626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 201</w:t>
      </w:r>
      <w:r>
        <w:rPr>
          <w:rFonts w:ascii="仿宋" w:hAnsi="仿宋" w:eastAsia="仿宋" w:cs="宋体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年度广东省农业技术推广奖拟推荐项目汇总表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                        广东省林业局     </w:t>
      </w:r>
    </w:p>
    <w:p>
      <w:pPr>
        <w:spacing w:line="560" w:lineRule="exact"/>
        <w:ind w:firstLine="5056" w:firstLineChars="158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201</w:t>
      </w:r>
      <w:r>
        <w:rPr>
          <w:rFonts w:ascii="仿宋" w:hAnsi="仿宋" w:eastAsia="仿宋" w:cs="宋体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年3月2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附件：201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年度广东省农业技术推广奖拟推荐项目汇总表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3"/>
        <w:tblW w:w="14875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60"/>
        <w:gridCol w:w="2434"/>
        <w:gridCol w:w="3135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主要完成人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主要完成单位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森林火灾地空高效配合扑救技术推广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吴泽鹏、张志鸿、江西军、郭天峰、甄学宁、周宇飞、李小川、王振师、张华、曾臻、邓宇科、马红岩、朱自飘、赖武婷、高嵩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广东省林业科学研究院、广东省航空护林站（广东省林火卫星监测中心）、华南农业大学、广州市石门国家森林公园管理处（广州市大岭山林场）、广州碳汇林业有限公司、广州研美园林工程设计有限公司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森林火灾地面扑救技术与森林航空消防直升机吊桶洒水灭火技术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结合，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解决了森林航空消防地空配合效率提高和灭火安全等问题。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成果已在全省30余宗山火实际扑救中得到了应用，相关企业新增经济效益64878万元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技术的推广有效减轻了受灾森林的损失程度，保护了生态环境，保障了人民的生命财产安全，经济、社会和生态效益巨大。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实木热改性技术及其功能材料推广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曹永建、李兴伟、涂登云、王颂、胡传双、马红霞、李怡欣、王剑菁、陈利芳、谢桂军、李万菊、何雪香、陈志明、勾啸、陈智慧、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郭乐东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、陈奋杰、陈丽贞、曾小军、左沛玲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广东省林业科学研究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院、华南农业大学、佛山市南海区瑞森新型材料研究所、广东省岭南综合勘察设计院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利用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阻燃、发热型桉/竹基复合板材关键制备技术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广东、福建、江西、湖南、浙江、北京、上海等23个省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区市广泛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推广与应用。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应用本技术的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生产企业，2016-2018年期间新增销售额85359万元，新增利税1.353亿元。本成果的推广，显著提升了热处理材及其产品的质量和附加值，实现了人工林速生材资源的高效利用，为我国林产工业转型升级提供了技术支撑，具有显著的经济、生态和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广东重要针、阔叶树种优良品系示范推广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240" w:leftChars="0" w:right="0" w:rightChars="0" w:hanging="24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瞿超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黄长娣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伍观娣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崔春意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张春花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周志平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刘晓东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叶龙华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谭焕全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赖敏婷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谭琳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何月玲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莫云豹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陈琪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赖旭恩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杨伟华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薛建军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王学芹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韦红华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280" w:right="0" w:rightChars="0" w:hanging="228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广东省林业科技推广总站、广东省天井山林场（广东天井山国家森林公园管理处）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、乐昌市龙山林场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、阳山县生态公益林管理总站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项目采用示范与推广相结合的方式，在韶关、清远等地推广应用杉木和木荷、枫香、樟树等乡土阔叶树种优良品系及其配套高效栽培技术，营建了杉木良种高效种子园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亩，初次投产收获种子120kg；建成杉木、木荷、枫香和樟树等树种优良品系示范林2720亩，主伐时可实现总产值6150万元。通过示范辐射，带动清远、韶关、肇庆等地市推广种植杉木、木荷、枫香和樟树等树种优良品系及其高效栽培技术共21.006万亩，预期可实现总产值45.896亿元。该成果的推广，对进一步提高林地生产效益，增加森林碳汇、提高林分质量等具有明显的促进作用，取得了良好的经济、社会和生态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广东省主要热带珍贵树种组培快繁技术推广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曾炳山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裘珍飞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李湘阳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范春节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黄桂华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黎新宇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包以秋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江振辉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杨锦昌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张宁南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陈金明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陈辉林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周转道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陈耀辉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刘凰英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黄烈健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中国林业科学研究院热带林业研究所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广东省东江林场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翁源县林场管理总站泉洞联办林场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梅州市林业科学研究所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湛江市绿科种苗有限公司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四会市华茂林业苗木有限公司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茂名市君元沉香种植发展有限公司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重点推广应用珍贵树种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柚木、黑木相思、越南沉香、米老排、降香黄檀、檀香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组培技术及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柚木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良种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、黑木相思优良无性系新品种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沉香、檀香、米老排、降香黄檀无性系(中试为主)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共推广珍贵树种优良无性系42个，其中黑木相思优良无性系新品种9个、柚木优良无性系3个、米老排无性系5个、越南沉香无性系15个、降香黄檀无性系5个、檀香试验无性系5个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。项目共生产珍贵树种优良品系组培苗1231万株，苗木收益2318万元；推广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83840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亩，幼林的总价值超过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亿元。同时，社会效益也十分显著，增加了劳动力就业，促进了农村和山区社会经济的发展。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森林生态旅游区喷淋防火林带系统建设技术推广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陈雄伟、何莹泉、刘培兴、陈钰皓、刘锡辉、丁丹、赵艳、朱卫东、朱利永、王喜平、余瑞娟、陈晓军、刘曼红、丁敏、李纪友、李俊英、詹洲延、严朝东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2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广东省林业调查规划院、广东省岭南综合勘察设计院、东莞市大屏嶂森林公园</w:t>
            </w:r>
          </w:p>
        </w:tc>
        <w:tc>
          <w:tcPr>
            <w:tcW w:w="7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水源收集处理技术、喷淋防火林带系统和自动控制系统等关键技术分别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东莞市大岭山森林公园、东莞市大屏嶂森林公园等36个森林公园和自然保护区的规划建设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推广应用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，累计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规模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50000公顷。结合推广应用实践制定了《喷淋防火林带系统工程设计技术细则》。水源收集处理系统为森林生态旅游区提供了合格的森林消防用水，可以就地收集水源，避免从山下多级加压引水上山，无需消耗电能，节约了建设成本，为森林生态旅游区推广以水灭火技术提供了有力保障；喷淋防火林带系统可以弥补生物防火林带建设成效慢、投入成本高、难以维护及防火性能受季节 影响等不足，系统建成后即可发挥防火和灭火的作用，有效减少了森林火灾的发生，同时为游客疏散和消防救援提供生命通道；自动控制系统大大提高了森林防火工作效率和管理水平。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73CC3"/>
    <w:rsid w:val="05D11271"/>
    <w:rsid w:val="0F373CC3"/>
    <w:rsid w:val="1FED48A5"/>
    <w:rsid w:val="2EEA059D"/>
    <w:rsid w:val="398B24B7"/>
    <w:rsid w:val="3C447BFF"/>
    <w:rsid w:val="3D2209DA"/>
    <w:rsid w:val="4F136629"/>
    <w:rsid w:val="56711C8D"/>
    <w:rsid w:val="5DDE1DEF"/>
    <w:rsid w:val="5F316210"/>
    <w:rsid w:val="6B1B467D"/>
    <w:rsid w:val="774E7364"/>
    <w:rsid w:val="78773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2018-03-23T06:31:00Z</dcterms:created>
  <dc:creator>张春花</dc:creator>
  <cp:lastModifiedBy>Administrator</cp:lastModifiedBy>
  <dcterms:modified xsi:type="dcterms:W3CDTF">2019-03-26T08:00:56Z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