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1</w:t>
      </w:r>
      <w:r>
        <w:rPr>
          <w:rFonts w:hint="eastAsia"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361" w:firstLineChars="1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省农民林业专业合作社示范社推荐表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60" w:firstLineChars="100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</w:p>
    <w:tbl>
      <w:tblPr>
        <w:tblStyle w:val="6"/>
        <w:tblW w:w="8925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357"/>
        <w:gridCol w:w="408"/>
        <w:gridCol w:w="1260"/>
        <w:gridCol w:w="1260"/>
        <w:gridCol w:w="495"/>
        <w:gridCol w:w="945"/>
        <w:gridCol w:w="12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名称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登记时间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住所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bookmarkStart w:id="0" w:name="_GoBack"/>
            <w:bookmarkEnd w:id="0"/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工商登记号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法人代表（理事长）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出资额（万元）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姓名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成员总数（人）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服务农户（户）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示范类型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种植类○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采集类○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加工类○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营销类○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服务类○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其他○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主营业务</w:t>
            </w:r>
          </w:p>
        </w:tc>
        <w:tc>
          <w:tcPr>
            <w:tcW w:w="7203" w:type="dxa"/>
            <w:gridSpan w:val="7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总收入</w:t>
            </w:r>
          </w:p>
        </w:tc>
        <w:tc>
          <w:tcPr>
            <w:tcW w:w="29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纯收入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720" w:firstLineChars="300"/>
              <w:jc w:val="righ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8925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/>
                <w:spacing w:val="10"/>
                <w:sz w:val="30"/>
                <w:szCs w:val="30"/>
              </w:rPr>
              <w:t>示范合作社概况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（主要包括：基本情况、发展模式、主营项目及体制机制创新、主要特色、综合效益）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县级林业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400" w:firstLineChars="225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市级林业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部门意见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省林业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意见</w:t>
            </w:r>
          </w:p>
        </w:tc>
        <w:tc>
          <w:tcPr>
            <w:tcW w:w="8085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5520" w:firstLineChars="2300"/>
              <w:jc w:val="left"/>
              <w:textAlignment w:val="auto"/>
              <w:outlineLvl w:val="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Basemic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B758C9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DDB57BB"/>
    <w:rsid w:val="3E03631A"/>
    <w:rsid w:val="3E932207"/>
    <w:rsid w:val="434C1FEF"/>
    <w:rsid w:val="439E44A7"/>
    <w:rsid w:val="47A541C4"/>
    <w:rsid w:val="4BE52FB0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CCE582C"/>
    <w:rsid w:val="6F540DBD"/>
    <w:rsid w:val="701F05EF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吴自华</cp:lastModifiedBy>
  <dcterms:modified xsi:type="dcterms:W3CDTF">2019-09-22T01:58:43Z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