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84"/>
          <w:szCs w:val="84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84"/>
          <w:szCs w:val="84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广东省森林康养基地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（2019）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申报书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ind w:firstLine="2530" w:firstLineChars="70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申报单位：</w:t>
      </w: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（盖章）</w:t>
      </w:r>
    </w:p>
    <w:p>
      <w:pPr>
        <w:widowControl/>
        <w:spacing w:line="360" w:lineRule="auto"/>
        <w:ind w:firstLine="2530" w:firstLineChars="700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填报时间：</w:t>
      </w: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t xml:space="preserve">           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填 写 说 明</w:t>
      </w:r>
    </w:p>
    <w:p>
      <w:pPr>
        <w:widowControl/>
        <w:spacing w:line="360" w:lineRule="auto"/>
        <w:ind w:firstLine="720" w:firstLineChars="20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本申报书由建设单位填写，申报书封面需加盖申报单位印章，申报单位名称必须与印章相符。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填写申报书应做到内容全面、表述准确、重点突出、文字简洁，可根据需要加页。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310"/>
        <w:gridCol w:w="1305"/>
        <w:gridCol w:w="2160"/>
        <w:gridCol w:w="7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申报单位全称（盖章）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主要负责人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通讯地址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电子邮箱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申报基地名称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基地面积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地理坐标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基地权属性质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权属有无争议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与自然保护地关系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（是否在森林公园、自然保护区等自然保护地范围内）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6" w:type="dxa"/>
            <w:vMerge w:val="restart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资源环境条件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森林覆盖率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水环境质量等级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6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空气细菌含量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声环境质量等级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06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负离子含量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大气环境质量等级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区位交通条件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（包括外部交通和内部交通）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基础设施条件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（包括森林康养步道、住宿、餐饮等基础设施。）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森林康养发展现状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（包括目前森林康养产品与服务等）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运营管理现状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（包括管理人员人数、配备康养师人数，年服务人数和产值等）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森林康养规划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（包括近期规划及下一步思路）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firstLine="2530" w:firstLineChars="700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00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申报单位</w:t>
            </w:r>
          </w:p>
        </w:tc>
        <w:tc>
          <w:tcPr>
            <w:tcW w:w="795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负责人（签字）：          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单  位（盖章）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时  间：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县级林业主管部门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5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单   位（盖章）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时  间：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市级林业主管部门</w:t>
            </w:r>
          </w:p>
        </w:tc>
        <w:tc>
          <w:tcPr>
            <w:tcW w:w="795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  单  位（盖章）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时  间：   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1BC1"/>
    <w:rsid w:val="3EE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2019-10-16T08:59:00Z</dcterms:created>
  <dc:creator>陈日强</dc:creator>
  <cp:lastModifiedBy>陈日强</cp:lastModifiedBy>
  <dcterms:modified xsi:type="dcterms:W3CDTF">2019-10-16T08:59:53Z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