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ind w:left="0" w:firstLine="0"/>
        <w:contextualSpacing w:val="0"/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附件3</w:t>
      </w:r>
      <w:r>
        <w:rPr>
          <w:rFonts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 xml:space="preserve"> 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 xml:space="preserve">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center"/>
        <w:textAlignment w:val="auto"/>
        <w:outlineLvl w:val="9"/>
        <w:rPr>
          <w:rFonts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44"/>
          <w:szCs w:val="44"/>
          <w:u w:val="none" w:color="auto"/>
          <w:shd w:val="clear" w:color="auto" w:fill="auto"/>
          <w:vertAlign w:val="baseline"/>
        </w:rPr>
      </w:pPr>
      <w:r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44"/>
          <w:szCs w:val="44"/>
          <w:u w:val="none" w:color="auto"/>
          <w:shd w:val="clear" w:color="auto" w:fill="auto"/>
          <w:vertAlign w:val="baseline"/>
        </w:rPr>
        <w:t>广东省林长绿美园实施方案编制大纲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一、基本情况：地理位置、选址、生态环境条件、森林动植物资源条件、基础设施条件等。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二、发展条件分析：对照认定条件，提出发展定位，分析建设的优劣势等。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三、总体布局：范围、主题特色、建设原则、功能分区。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四、实施方案：在原有的基础上，结合区域实际，提出3年内需要完善的内容、规模、主要技术措施等。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五、实施计划和资金投入情况：依据、范围、投资内容、资金筹措等。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六、效益分析：生态效益、社会效益、经济效益等。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七、保障措施：组织保障、资金保障、技术保障等。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</w:pPr>
      <w:r>
        <w:rPr>
          <w:rFonts w:hint="eastAsia" w:ascii="仿宋" w:eastAsia="仿宋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八、图纸部分：包括但不限于区位图、用地范围图、总平面图、交通组织图、特色项目布局图、服务设施规划图、科普与标识系统规划图等。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egacy w:legacy="1" w:legacySpace="0" w:legacyIndent="1224"/>
      <w:lvlJc w:val="left"/>
      <w:pPr>
        <w:ind w:left="1224" w:hanging="1224"/>
      </w:pPr>
      <w:rPr>
        <w:rFonts w:hint="eastAsia"/>
      </w:rPr>
    </w:lvl>
    <w:lvl w:ilvl="1" w:tentative="0">
      <w:start w:val="1"/>
      <w:numFmt w:val="decimal"/>
      <w:lvlText w:val="%1.%2"/>
      <w:legacy w:legacy="1" w:legacySpace="0" w:legacyIndent="1224"/>
      <w:lvlJc w:val="left"/>
      <w:pPr>
        <w:ind w:left="1224" w:hanging="1224"/>
      </w:pPr>
      <w:rPr>
        <w:rFonts w:hint="eastAsia"/>
      </w:rPr>
    </w:lvl>
    <w:lvl w:ilvl="2" w:tentative="0">
      <w:start w:val="1"/>
      <w:numFmt w:val="decimal"/>
      <w:lvlText w:val="%1.%2.%3"/>
      <w:legacy w:legacy="1" w:legacySpace="0" w:legacyIndent="1224"/>
      <w:lvlJc w:val="left"/>
      <w:pPr>
        <w:ind w:left="1224" w:hanging="1224"/>
      </w:pPr>
      <w:rPr>
        <w:rFonts w:hint="default" w:ascii="Arial Narrow" w:hAnsi="Arial Narrow" w:eastAsia="仿宋_GB2312"/>
        <w:sz w:val="24"/>
        <w:szCs w:val="24"/>
      </w:rPr>
    </w:lvl>
    <w:lvl w:ilvl="3" w:tentative="0">
      <w:start w:val="1"/>
      <w:numFmt w:val="decimal"/>
      <w:lvlText w:val="%1.%2.%3.%4."/>
      <w:legacy w:legacy="1" w:legacySpace="0" w:legacyIndent="1225"/>
      <w:lvlJc w:val="left"/>
      <w:pPr>
        <w:ind w:left="1225" w:hanging="1225"/>
      </w:pPr>
      <w:rPr>
        <w:rFonts w:hint="eastAsia"/>
      </w:r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pStyle w:val="2"/>
      <w:lvlText w:val="%6."/>
      <w:legacy w:legacy="1" w:legacySpace="0" w:legacyIndent="420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D6270"/>
    <w:rsid w:val="291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iPriority w:val="0"/>
    <w:pPr>
      <w:keepNext/>
      <w:keepLines/>
      <w:widowControl w:val="0"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2022-06-27T07:37:00Z</dcterms:created>
  <dc:creator>林晓钦</dc:creator>
  <cp:lastModifiedBy>林晓钦</cp:lastModifiedBy>
  <dcterms:modified xsi:type="dcterms:W3CDTF">2022-06-27T07:38:16Z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