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80" w:lineRule="exact"/>
        <w:jc w:val="left"/>
        <w:rPr>
          <w:rFonts w:hint="eastAsia" w:ascii="黑体" w:eastAsia="黑体" w:cs="Times New Roman"/>
          <w:b w:val="0"/>
          <w:kern w:val="2"/>
          <w:sz w:val="32"/>
          <w:szCs w:val="32"/>
        </w:rPr>
      </w:pPr>
      <w:r>
        <w:rPr>
          <w:rFonts w:hint="eastAsia" w:ascii="黑体" w:eastAsia="黑体" w:cs="Times New Roman"/>
          <w:b w:val="0"/>
          <w:kern w:val="2"/>
          <w:sz w:val="32"/>
          <w:szCs w:val="32"/>
        </w:rPr>
        <w:t>附件1</w:t>
      </w:r>
    </w:p>
    <w:p>
      <w:pPr>
        <w:widowControl w:val="0"/>
        <w:adjustRightInd w:val="0"/>
        <w:snapToGrid w:val="0"/>
        <w:spacing w:line="580" w:lineRule="exact"/>
        <w:ind w:left="1680" w:leftChars="800"/>
        <w:jc w:val="both"/>
        <w:rPr>
          <w:rFonts w:ascii="Calibri" w:hAnsi="Calibri" w:eastAsia="宋体" w:cs="Times New Roman"/>
          <w:kern w:val="2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0"/>
        <w:contextualSpacing w:val="0"/>
        <w:jc w:val="center"/>
        <w:rPr>
          <w:rFonts w:hint="eastAsia" w:ascii="Times New Roman" w:hAnsi="Times New Roman" w:eastAsia="黑体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44"/>
          <w:szCs w:val="44"/>
          <w:u w:val="none" w:color="auto"/>
          <w:shd w:val="clear" w:color="auto" w:fill="auto"/>
          <w:vertAlign w:val="baseline"/>
          <w:lang w:eastAsia="zh-CN"/>
        </w:rPr>
      </w:pPr>
      <w:r>
        <w:rPr>
          <w:rFonts w:hint="eastAsia" w:ascii="方正小标宋简体" w:eastAsia="方正小标宋简体" w:cs="CESI小标宋-GB2312"/>
          <w:kern w:val="2"/>
          <w:sz w:val="44"/>
          <w:szCs w:val="44"/>
        </w:rPr>
        <w:t>广东省林长绿美园申报认定指引</w:t>
      </w:r>
      <w:r>
        <w:rPr>
          <w:rFonts w:hint="eastAsia" w:ascii="方正小标宋简体" w:eastAsia="方正小标宋简体" w:cs="CESI小标宋-GB2312"/>
          <w:kern w:val="2"/>
          <w:sz w:val="44"/>
          <w:szCs w:val="44"/>
          <w:lang w:eastAsia="zh-CN"/>
        </w:rPr>
        <w:t>（试行</w:t>
      </w:r>
      <w:r>
        <w:rPr>
          <w:rFonts w:hint="eastAsia" w:ascii="方正小标宋简体" w:eastAsia="方正小标宋简体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44"/>
          <w:szCs w:val="44"/>
          <w:u w:val="none" w:color="auto"/>
          <w:shd w:val="clear" w:color="auto" w:fill="auto"/>
          <w:vertAlign w:val="baseli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center"/>
        <w:textAlignment w:val="auto"/>
        <w:outlineLvl w:val="9"/>
        <w:rPr>
          <w:rFonts w:ascii="Times New Roman" w:hAnsi="Times New Roman" w:eastAsia="方正黑体_GBK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line="580" w:lineRule="exact"/>
        <w:ind w:left="0" w:firstLine="640" w:firstLineChars="200"/>
        <w:contextualSpacing w:val="0"/>
        <w:jc w:val="both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第一条　为规范广东省林长绿美园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eastAsia="zh-CN"/>
        </w:rPr>
        <w:t>（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以下简称“林长绿美园”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eastAsia="zh-CN"/>
        </w:rPr>
        <w:t>）申报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认定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工作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，确保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园区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质量和效果，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打造主题突出、特色鲜明的生态示范样板，全面加快落实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林长制，按照有关要求并结合我省实际，制定本指引。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第二条　</w:t>
      </w:r>
      <w:r>
        <w:rPr>
          <w:rFonts w:hint="eastAsia" w:ascii="仿宋" w:eastAsia="仿宋" w:cs="Times New Roman"/>
          <w:kern w:val="2"/>
          <w:sz w:val="32"/>
          <w:szCs w:val="32"/>
          <w:shd w:val="clear" w:color="auto" w:fill="auto"/>
          <w:lang w:val="en-US" w:eastAsia="zh-CN"/>
        </w:rPr>
        <w:t>本指引适用于广东省省级林长绿美园的申报认定。各地可参考本指引开展本级林长绿美园的认定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第三条　林长绿美园是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指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各级林长通过加强组织领导，推进科学绿化，强化资源管护，深化体制机制改革等手段，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在自身责任区域内打造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森林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质量精准提升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、绿水青山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就是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金山银山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价值转化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共享绿色生态福祉等三大主题之一的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示范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样板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区域，展示全面推行林长制工作成效的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园区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第四条　广东省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林长绿美园的申报认定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eastAsia="zh-CN"/>
        </w:rPr>
        <w:t>坚持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公开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、公平、公正的原则，实行动态管理，主动接受社会监督。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line="580" w:lineRule="exact"/>
        <w:ind w:left="0" w:firstLine="640" w:firstLineChars="200"/>
        <w:contextualSpacing w:val="0"/>
        <w:jc w:val="both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第五条　广东省全面推行林长制工作领导小组办公室（以下简称“省林长办”）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负责广东省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林长绿美园申报的指导、组织和认定等工作。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第六条　</w:t>
      </w:r>
      <w:r>
        <w:rPr>
          <w:rFonts w:hint="eastAsia" w:ascii="仿宋" w:eastAsia="仿宋" w:cs="仿宋_GB2312"/>
          <w:kern w:val="2"/>
          <w:sz w:val="32"/>
          <w:szCs w:val="32"/>
        </w:rPr>
        <w:t>申报认定的广东省林长绿美</w:t>
      </w:r>
      <w:r>
        <w:rPr>
          <w:rFonts w:hint="eastAsia" w:ascii="仿宋" w:eastAsia="仿宋" w:cs="Times New Roman"/>
          <w:kern w:val="2"/>
          <w:sz w:val="32"/>
          <w:szCs w:val="28"/>
        </w:rPr>
        <w:t>园应满足选址、生态环境和基本设施</w:t>
      </w:r>
      <w:r>
        <w:rPr>
          <w:rFonts w:hint="eastAsia" w:ascii="仿宋" w:eastAsia="仿宋" w:cs="Times New Roman"/>
          <w:kern w:val="2"/>
          <w:sz w:val="32"/>
          <w:szCs w:val="28"/>
          <w:lang w:val="en-US" w:eastAsia="zh-CN"/>
        </w:rPr>
        <w:t>等</w:t>
      </w:r>
      <w:r>
        <w:rPr>
          <w:rFonts w:hint="eastAsia" w:ascii="仿宋" w:eastAsia="仿宋" w:cs="Times New Roman"/>
          <w:kern w:val="2"/>
          <w:sz w:val="32"/>
          <w:szCs w:val="28"/>
        </w:rPr>
        <w:t>要求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eastAsia="zh-CN"/>
        </w:rPr>
        <w:t>，</w:t>
      </w:r>
      <w:r>
        <w:rPr>
          <w:rFonts w:hint="eastAsia" w:ascii="仿宋" w:eastAsia="仿宋" w:cs="Times New Roman"/>
          <w:kern w:val="2"/>
          <w:sz w:val="32"/>
          <w:szCs w:val="28"/>
        </w:rPr>
        <w:t>能体现</w:t>
      </w:r>
      <w:r>
        <w:rPr>
          <w:rFonts w:hint="eastAsia" w:ascii="仿宋" w:eastAsia="仿宋" w:cs="Times New Roman"/>
          <w:kern w:val="2"/>
          <w:sz w:val="32"/>
          <w:szCs w:val="28"/>
          <w:lang w:val="en-US" w:eastAsia="zh-CN"/>
        </w:rPr>
        <w:t>林长履职尽责，积极推动林业高质量发展工作成效，符合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森林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质量精准提升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、绿水青山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就是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金山银山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价值转化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共享绿色生态福祉等三大主题之一，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重点凸显13个特色要求中的1个或以上。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80" w:firstLineChars="150"/>
        <w:contextualSpacing w:val="0"/>
        <w:jc w:val="both"/>
        <w:textAlignment w:val="auto"/>
        <w:outlineLvl w:val="9"/>
        <w:rPr>
          <w:rFonts w:hint="eastAsia" w:ascii="楷体" w:eastAsia="楷体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楷体" w:eastAsia="楷体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（一）选址要求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1.区域明确，界限清晰，无林地林权及其他权属纠纷，无违法违规占用林地、农地、水域、滩涂等行为。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2.集中连片，具有一定规模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和边界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3.有安全通行的道路通达林长绿美园。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80" w:firstLineChars="150"/>
        <w:contextualSpacing w:val="0"/>
        <w:jc w:val="both"/>
        <w:textAlignment w:val="auto"/>
        <w:outlineLvl w:val="9"/>
        <w:rPr>
          <w:rFonts w:hint="eastAsia" w:ascii="楷体" w:eastAsia="楷体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楷体" w:eastAsia="楷体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（二）生态环境要求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1.生态系统保存完好，生物多样性丰富。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2.生态环境良好，5公里内无大气污染、水体污染、土壤污染、噪音污染、农药污染、辐射污染、热污染等污染源。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3.近三年未发生重大森林火灾、违法采伐毁坏林木、违法占用林地和违法猎捕经营野生动物、非法采集国家保护野生植物事件，无严重的森林病虫害及外来物种入侵。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80" w:firstLineChars="150"/>
        <w:contextualSpacing w:val="0"/>
        <w:jc w:val="both"/>
        <w:textAlignment w:val="auto"/>
        <w:outlineLvl w:val="9"/>
        <w:rPr>
          <w:rFonts w:hint="eastAsia" w:ascii="楷体" w:eastAsia="楷体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楷体" w:eastAsia="楷体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（三）基本设施要求</w:t>
      </w:r>
    </w:p>
    <w:p>
      <w:pPr>
        <w:widowControl w:val="0"/>
        <w:spacing w:line="580" w:lineRule="exact"/>
        <w:ind w:firstLine="640" w:firstLineChars="200"/>
        <w:jc w:val="both"/>
        <w:rPr>
          <w:rFonts w:hint="eastAsia" w:ascii="仿宋" w:eastAsia="仿宋" w:cs="Times New Roman"/>
          <w:kern w:val="2"/>
          <w:sz w:val="32"/>
          <w:szCs w:val="28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基本设施包括标识设施、科普宣教设施、基础和服务设施、应急和安全设施</w:t>
      </w:r>
      <w:r>
        <w:rPr>
          <w:rFonts w:hint="eastAsia" w:ascii="仿宋" w:eastAsia="仿宋" w:cs="Times New Roman"/>
          <w:kern w:val="2"/>
          <w:sz w:val="32"/>
          <w:szCs w:val="28"/>
        </w:rPr>
        <w:t>等，能展现本级林长制工作相关内容，融入岭南生态文化元素。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1.标识设施。标识设施包括林长公示牌、林长绿美园总览牌、指示性标识、科普宣教标识等。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2.科普宣教设施。科普宣教设施应结合林长绿美园的特色，设立标准地、科普径、科普宣教室、宣教牌（栏）等，向公众科普林业生态建设相关知识，提升公众生态科学素养。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3.基础服务设施。基础服务设施包括必要园内道路、停车场、出入口、驻留点、卫生设施等。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4.应急安全设施。应急安全设施包括应急避难设施、应急通讯设施、急救照明设施、急救药箱、交通安全设施、消防安全设施、自然灾害安全防护设施、野生动物安全防护设施等。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80" w:firstLineChars="150"/>
        <w:contextualSpacing w:val="0"/>
        <w:jc w:val="both"/>
        <w:textAlignment w:val="auto"/>
        <w:outlineLvl w:val="9"/>
        <w:rPr>
          <w:rFonts w:hint="eastAsia" w:ascii="楷体" w:eastAsia="楷体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楷体" w:eastAsia="楷体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（四）特色要求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line="580" w:lineRule="exact"/>
        <w:ind w:left="0" w:firstLine="640" w:firstLineChars="200"/>
        <w:contextualSpacing w:val="0"/>
        <w:jc w:val="both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林长绿美园应体现林长承担森林资源保护发展主体责任，围绕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森林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质量精准提升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、绿水青山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就是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金山银山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价值转化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共享绿色生态福祉等三大主题之一，</w:t>
      </w:r>
      <w:r>
        <w:rPr>
          <w:rFonts w:hint="eastAsia" w:ascii="仿宋" w:eastAsia="仿宋" w:cs="Times New Roman"/>
          <w:kern w:val="2"/>
          <w:sz w:val="32"/>
          <w:szCs w:val="28"/>
        </w:rPr>
        <w:t>重点凸显13个特色要求中的1个或以上</w:t>
      </w:r>
      <w:r>
        <w:rPr>
          <w:rFonts w:hint="eastAsia" w:ascii="仿宋" w:eastAsia="仿宋" w:cs="仿宋_GB2312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主题一：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森林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质量精准提升示范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样板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公益林建设和天然林保护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：森林类别为公益林，树种组成为地带性原生植被，郁闭度0.8以上，特点明显，保护价值较高。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line="580" w:lineRule="exact"/>
        <w:ind w:left="0" w:firstLine="643" w:firstLineChars="200"/>
        <w:contextualSpacing w:val="0"/>
        <w:jc w:val="both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高质量水源涵养林营建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：分布在重要水源地周边，郁闭度在0.8以上，优势树种具有较高的水源涵养功能。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困难立地修复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：针对紫色砂页岩、废旧采石场、硫铁矿、盐碱地等困难立地进行了系统性生态修复，具有较好成效，并以特色景观为主体，形成供人们游览观赏、科学考察的特色空间地域。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大径材培育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：相对集中连片；立地条件较好，土层深厚、</w:t>
      </w:r>
      <w:bookmarkStart w:id="1" w:name="_GoBack"/>
      <w:bookmarkEnd w:id="1"/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水肥条件等适合大径材树木生长；经营主体须拥有林木所有权或使用权，具有较高经营水平，并已建立短周期、中周期、长周期相结合的经营模式。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contextualSpacing w:val="0"/>
        <w:jc w:val="both"/>
        <w:rPr>
          <w:rFonts w:hint="eastAsia" w:ascii="仿宋" w:eastAsia="仿宋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沿海基干林带营建：</w:t>
      </w:r>
      <w:r>
        <w:rPr>
          <w:rFonts w:hint="eastAsia" w:ascii="仿宋" w:eastAsia="仿宋" w:cs="Times New Roman"/>
          <w:b w:val="0"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具有完整的一、二、三级基干林带，红树林面积恢复、基干林带达标、老化基干林带更新等效果显著。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firstLine="643" w:firstLineChars="200"/>
        <w:contextualSpacing w:val="0"/>
        <w:jc w:val="both"/>
        <w:rPr>
          <w:rFonts w:hint="eastAsia" w:ascii="仿宋" w:eastAsia="仿宋" w:cs="Times New Roman"/>
          <w:bCs/>
          <w:kern w:val="2"/>
          <w:sz w:val="32"/>
          <w:szCs w:val="32"/>
          <w:shd w:val="clear" w:color="auto" w:fill="auto"/>
        </w:rPr>
      </w:pPr>
      <w:r>
        <w:rPr>
          <w:rFonts w:hint="eastAsia" w:ascii="仿宋" w:eastAsia="仿宋" w:cs="Times New Roman"/>
          <w:b/>
          <w:bCs/>
          <w:kern w:val="2"/>
          <w:sz w:val="32"/>
          <w:szCs w:val="32"/>
          <w:shd w:val="clear" w:color="auto" w:fill="auto"/>
        </w:rPr>
        <w:t>珍稀濒危野生动植物及其栖息地原生地保护：</w:t>
      </w:r>
      <w:r>
        <w:rPr>
          <w:rFonts w:hint="eastAsia" w:ascii="仿宋" w:eastAsia="仿宋" w:cs="Times New Roman"/>
          <w:bCs/>
          <w:kern w:val="2"/>
          <w:sz w:val="32"/>
          <w:szCs w:val="32"/>
          <w:shd w:val="clear" w:color="auto" w:fill="auto"/>
        </w:rPr>
        <w:t>在国家专项物种和重点保护珍稀濒危野生动植物的调查研究、就地保护、繁育、培植、放（回）归等拯救保护措施与工程等方面成效显著；在珍稀濒危野生动植物扩繁与迁地保护、种质资源收集保藏、动物救护体系、植物园体系等方面效果明显；在野生动物危害防控、补偿和疫源疫病监测能力等方面提升显著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主题二：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绿水青山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就是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金山银山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价值转化示范样板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bookmarkStart w:id="0" w:name="_Hlk96749343"/>
      <w:r>
        <w:rPr>
          <w:rFonts w:hint="eastAsia" w:ascii="仿宋" w:eastAsia="仿宋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特色经济林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：以林农（村民小组、经济社）为主体开展的包括油茶、肉桂、橄榄、澳洲坚果等经济树种的种植加工，并形成一定的品牌知名度。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3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林下种植（养殖）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：以林农（村民小组、经济社）或企事业单位为主体开展的包括林药、林菌、林禽、林蜂、林花、林茶等林下种养，并形成一定的品牌知名度。</w:t>
      </w:r>
    </w:p>
    <w:bookmarkEnd w:id="0"/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主题三：共享绿色生态福祉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示范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样板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643" w:firstLineChars="200"/>
        <w:contextualSpacing w:val="0"/>
        <w:jc w:val="both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  <w:t>森林康养：具有丰富多彩的森林景观，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  <w:t>风景资源品质较高，康养设施较为完善，生态环境优美宜人，适合人民群众进行旅游休闲、娱乐运动、保健养生，满足人民群众对绿色低碳生活的需求。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643" w:firstLineChars="200"/>
        <w:contextualSpacing w:val="0"/>
        <w:jc w:val="both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  <w:t>自然教育：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  <w:t>具备特色的自然资源条件、丰富或典型的生物资源，具有1条以上的自然教育径和专门的宣教室（中心），可以提供自然游戏、自然观察、自然文创等各类自然教育产品与服务。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643" w:firstLineChars="200"/>
        <w:contextualSpacing w:val="0"/>
        <w:jc w:val="both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  <w:t>自然体验：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  <w:t>区域明确，权属清晰。具备区域典型的森林、湿地、地质和文化资源，可为人们提供各种形式的自然体验。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line="580" w:lineRule="exact"/>
        <w:ind w:left="0" w:firstLine="643" w:firstLineChars="200"/>
        <w:contextualSpacing w:val="0"/>
        <w:jc w:val="both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生态</w:t>
      </w:r>
      <w:r>
        <w:rPr>
          <w:rFonts w:hint="eastAsia" w:ascii="仿宋" w:eastAsia="仿宋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旅游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：具有独特的自然风光、文化资源和珍稀濒危野生动植物及其栖息地资源，森林景观优美。具有传统特色的街景设施、休闲农庄和特色民宿，不定期开展特色文化娱乐和生态旅游等活动。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21"/>
          <w:szCs w:val="21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/>
          <w:bCs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  <w:t>森林步道：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  <w:t>穿越园区规划的森林区域，串联古驿道、古镇古村落和自然历史文化遗迹，具有不同的自然风光和历史文化特征，全线森林占比75%以上。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 xml:space="preserve">第七条 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申报认定广东省林长绿美园称号的单位，应当提交以下材料：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80" w:firstLineChars="15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（一）林长绿美园申报书；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80" w:firstLineChars="15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（二）林长绿美园实施方案；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80" w:firstLineChars="15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（三）林长绿美园建设项目佐证材料：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1.申报单位营业执照或组织机构代码证（复印件）；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2.申报区域的土地权属或林地、林木权属证明（复印件）；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  <w:t>3.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  <w:lang w:val="en-US" w:eastAsia="zh-CN"/>
        </w:rPr>
        <w:t>主题特色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  <w:t>相关证明材料，包括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  <w:lang w:val="en-US" w:eastAsia="zh-CN"/>
        </w:rPr>
        <w:t>文件资料、媒体报道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  <w:lang w:eastAsia="zh-CN"/>
        </w:rPr>
        <w:t>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  <w:lang w:val="en-US" w:eastAsia="zh-CN"/>
        </w:rPr>
        <w:t>统计数据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  <w:lang w:eastAsia="zh-CN"/>
        </w:rPr>
        <w:t>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  <w:t>投入资金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  <w:lang w:eastAsia="zh-CN"/>
        </w:rPr>
        <w:t>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  <w:lang w:val="en-US" w:eastAsia="zh-CN"/>
        </w:rPr>
        <w:t>社会影响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28"/>
          <w:u w:val="none" w:color="auto"/>
          <w:shd w:val="clear" w:color="auto" w:fill="auto"/>
          <w:vertAlign w:val="baseline"/>
        </w:rPr>
        <w:t>等；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4.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园区规划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、运行和管理情况等材料；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5.其他证明与支持材料。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640" w:firstLineChars="200"/>
        <w:contextualSpacing w:val="0"/>
        <w:jc w:val="both"/>
        <w:rPr>
          <w:rFonts w:hint="eastAsia" w:ascii="仿宋" w:eastAsia="仿宋" w:cs="Times New Roman"/>
          <w:kern w:val="2"/>
          <w:sz w:val="32"/>
          <w:szCs w:val="28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 xml:space="preserve">第八条 </w:t>
      </w:r>
      <w:r>
        <w:rPr>
          <w:rFonts w:hint="eastAsia" w:ascii="仿宋" w:eastAsia="仿宋" w:cs="Times New Roman"/>
          <w:kern w:val="2"/>
          <w:sz w:val="32"/>
          <w:szCs w:val="28"/>
        </w:rPr>
        <w:t>符合要求的单位向所在县（市、区）林长办申报，由县（市、区）林长办审查并签署意见后报地级以上市林长办复审，通过后申报至省林长办。省级及以上部门（单位）可直接向省林长办进行申报。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line="580" w:lineRule="exact"/>
        <w:ind w:left="0" w:firstLine="640" w:firstLineChars="200"/>
        <w:contextualSpacing w:val="0"/>
        <w:jc w:val="both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第九条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 xml:space="preserve"> 省林长办组织专家对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地级以上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市林长办推荐的单位进行评审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和实地抽查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，经综合评定、公示结果并按程序报批后，由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省林长办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授予“广东省林长绿美园”称号。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 w:firstLineChars="20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 xml:space="preserve">第十条 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对已认定的广东省林长绿美园实行动态监测，由省林长办适时组织复查，并发布林长绿美园复查结果。经复查合格的，保留“广东省林长绿美园”称号；复查不合格的，提出限期整改意见，整改后仍未达到广东省林长绿美园相关要求的，由省林长办取消其称号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，并向社会公布。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64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第十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一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条　经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省林长办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认定公布的广东省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林长绿美园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，优先享受国家和省有关扶持政策。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480" w:firstLineChars="15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（一）优先享受国家和省级森林草原资源保护发展等有关扶持政策。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480" w:firstLineChars="15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（二）优先向金融机构、公益机构、社会推介，争取金融贷款、社会资金的支持。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480" w:firstLineChars="15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（三）优先向发改、经信、教育、科技、关工委等有关部门、机构或群团组织推荐，享受技改、研学、科研、关心下一代等有关支持政策。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0" w:firstLine="480" w:firstLineChars="15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（四）优先享受其它相关扶持政策。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　　第十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二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条　各级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林长办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应对广东省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林长绿美园发展提供支持与服务，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推动品质提升，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不断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创新发展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80" w:firstLineChars="15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（一）组织相关专家考察广东省林长绿美园，请其对区域的林业高质量发展提出指导性意见。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right="0" w:firstLine="480" w:firstLineChars="150"/>
        <w:contextualSpacing w:val="0"/>
        <w:jc w:val="both"/>
        <w:textAlignment w:val="auto"/>
        <w:outlineLvl w:val="9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（二）支持鼓励广东省林长绿美园整合资源、优化布局，形成品牌效应。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line="580" w:lineRule="exact"/>
        <w:ind w:firstLine="480" w:firstLineChars="150"/>
        <w:contextualSpacing w:val="0"/>
        <w:jc w:val="both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（三）组织广东省林长绿美园的工作人员交流培训，提高有关人员的业务水平和能力。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 w:val="0"/>
        <w:snapToGrid w:val="0"/>
        <w:spacing w:line="580" w:lineRule="exact"/>
        <w:ind w:left="0" w:firstLine="640" w:firstLineChars="200"/>
        <w:contextualSpacing w:val="0"/>
        <w:jc w:val="both"/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第十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三</w:t>
      </w:r>
      <w:r>
        <w:rPr>
          <w:rFonts w:hint="eastAsia" w:ascii="仿宋" w:eastAsia="仿宋" w:cs="Times New Roman"/>
          <w:b w:val="0"/>
          <w:bCs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0"/>
          <w:position w:val="0"/>
          <w:sz w:val="32"/>
          <w:szCs w:val="32"/>
          <w:u w:val="none" w:color="auto"/>
          <w:shd w:val="clear" w:color="auto" w:fill="auto"/>
          <w:vertAlign w:val="baseline"/>
        </w:rPr>
        <w:t>条  本指引由省林长办负责解释</w:t>
      </w:r>
      <w:r>
        <w:rPr>
          <w:rFonts w:hint="eastAsia" w:ascii="仿宋" w:eastAsia="仿宋" w:cs="Times New Roman"/>
          <w:b w:val="0"/>
          <w:i w:val="0"/>
          <w:strike w:val="0"/>
          <w:dstrike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."/>
      <w:legacy w:legacy="1" w:legacySpace="0" w:legacyIndent="1224"/>
      <w:lvlJc w:val="left"/>
      <w:pPr>
        <w:ind w:left="1224" w:hanging="1224"/>
      </w:pPr>
      <w:rPr>
        <w:rFonts w:hint="eastAsia"/>
      </w:rPr>
    </w:lvl>
    <w:lvl w:ilvl="1" w:tentative="0">
      <w:start w:val="1"/>
      <w:numFmt w:val="decimal"/>
      <w:lvlText w:val="%1.%2"/>
      <w:legacy w:legacy="1" w:legacySpace="0" w:legacyIndent="1224"/>
      <w:lvlJc w:val="left"/>
      <w:pPr>
        <w:ind w:left="1224" w:hanging="1224"/>
      </w:pPr>
      <w:rPr>
        <w:rFonts w:hint="eastAsia"/>
      </w:rPr>
    </w:lvl>
    <w:lvl w:ilvl="2" w:tentative="0">
      <w:start w:val="1"/>
      <w:numFmt w:val="decimal"/>
      <w:lvlText w:val="%1.%2.%3"/>
      <w:legacy w:legacy="1" w:legacySpace="0" w:legacyIndent="1224"/>
      <w:lvlJc w:val="left"/>
      <w:pPr>
        <w:ind w:left="1224" w:hanging="1224"/>
      </w:pPr>
      <w:rPr>
        <w:rFonts w:hint="default" w:ascii="Arial Narrow" w:hAnsi="Arial Narrow" w:eastAsia="仿宋_GB2312"/>
        <w:sz w:val="24"/>
        <w:szCs w:val="24"/>
      </w:rPr>
    </w:lvl>
    <w:lvl w:ilvl="3" w:tentative="0">
      <w:start w:val="1"/>
      <w:numFmt w:val="decimal"/>
      <w:lvlText w:val="%1.%2.%3.%4."/>
      <w:legacy w:legacy="1" w:legacySpace="0" w:legacyIndent="1225"/>
      <w:lvlJc w:val="left"/>
      <w:pPr>
        <w:ind w:left="1225" w:hanging="1225"/>
      </w:pPr>
      <w:rPr>
        <w:rFonts w:hint="eastAsia"/>
      </w:r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pStyle w:val="2"/>
      <w:lvlText w:val="%6."/>
      <w:legacy w:legacy="1" w:legacySpace="0" w:legacyIndent="420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62959"/>
    <w:rsid w:val="547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iPriority w:val="0"/>
    <w:pPr>
      <w:keepNext/>
      <w:keepLines/>
      <w:widowControl w:val="0"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2022-06-27T07:35:00Z</dcterms:created>
  <dc:creator>林晓钦</dc:creator>
  <cp:lastModifiedBy>林晓钦</cp:lastModifiedBy>
  <dcterms:modified xsi:type="dcterms:W3CDTF">2022-06-27T07:36:28Z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