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方正仿宋_GBK" w:eastAsia="方正仿宋_GBK" w:cs="仿宋_GB2312"/>
          <w:sz w:val="28"/>
          <w:szCs w:val="28"/>
        </w:rPr>
      </w:pPr>
      <w:bookmarkStart w:id="0" w:name="_GoBack"/>
      <w:bookmarkEnd w:id="0"/>
      <w:r>
        <w:rPr>
          <w:rFonts w:ascii="仿宋" w:eastAsia="仿宋" w:cs="仿宋" w:hint="eastAsia"/>
          <w:sz w:val="32"/>
          <w:szCs w:val="32"/>
          <w:lang w:eastAsia="zh-CN"/>
        </w:rPr>
        <w:t>附件</w:t>
      </w:r>
      <w:r>
        <w:rPr>
          <w:rFonts w:ascii="仿宋" w:eastAsia="仿宋" w:cs="仿宋" w:hint="eastAsia"/>
          <w:sz w:val="32"/>
          <w:szCs w:val="32"/>
          <w:lang w:val="en-US" w:eastAsia="zh-CN"/>
        </w:rPr>
        <w:t>3</w:t>
      </w:r>
      <w:r>
        <w:rPr>
          <w:rFonts w:ascii="方正仿宋_GBK" w:eastAsia="方正仿宋_GBK" w:cs="仿宋_GB2312"/>
          <w:sz w:val="28"/>
          <w:szCs w:val="28"/>
        </w:rPr>
        <w:t xml:space="preserve">                                     </w:t>
      </w:r>
    </w:p>
    <w:p>
      <w:pPr>
        <w:ind w:firstLineChars="2300" w:firstLine="6716"/>
        <w:rPr>
          <w:rFonts w:ascii="方正仿宋_GBK" w:eastAsia="方正仿宋_GBK"/>
          <w:spacing w:val="6"/>
          <w:sz w:val="28"/>
          <w:szCs w:val="28"/>
        </w:rPr>
      </w:pPr>
      <w:r>
        <w:rPr>
          <w:rFonts w:ascii="方正仿宋_GBK" w:eastAsia="方正仿宋_GBK" w:hint="eastAsia"/>
          <w:spacing w:val="6"/>
          <w:sz w:val="28"/>
          <w:szCs w:val="28"/>
        </w:rPr>
        <w:t>编号：</w:t>
      </w:r>
    </w:p>
    <w:p>
      <w:pPr>
        <w:rPr>
          <w:rFonts w:ascii="仿宋_GB2312" w:eastAsia="仿宋_GB2312" w:cs="仿宋_GB2312"/>
          <w:sz w:val="32"/>
          <w:szCs w:val="32"/>
        </w:rPr>
      </w:pPr>
    </w:p>
    <w:p>
      <w:pPr>
        <w:ind w:firstLine="510"/>
        <w:rPr>
          <w:rFonts w:ascii="仿宋_GB2312" w:eastAsia="仿宋_GB2312" w:cs="仿宋_GB2312"/>
          <w:sz w:val="32"/>
          <w:szCs w:val="32"/>
        </w:rPr>
      </w:pPr>
    </w:p>
    <w:p>
      <w:pPr>
        <w:jc w:val="center"/>
        <w:rPr>
          <w:rFonts w:ascii="方正大标宋_GBK" w:eastAsia="方正大标宋_GBK" w:cs="仿宋_GB2312"/>
          <w:bCs/>
          <w:sz w:val="44"/>
          <w:szCs w:val="44"/>
        </w:rPr>
      </w:pPr>
      <w:r>
        <w:rPr>
          <w:rFonts w:ascii="方正大标宋_GBK" w:eastAsia="方正大标宋_GBK" w:cs="仿宋_GB2312" w:hint="eastAsia"/>
          <w:bCs/>
          <w:sz w:val="44"/>
          <w:szCs w:val="44"/>
          <w:lang w:eastAsia="zh-CN"/>
        </w:rPr>
        <w:t>省级</w:t>
      </w:r>
      <w:r>
        <w:rPr>
          <w:rFonts w:ascii="方正大标宋_GBK" w:eastAsia="方正大标宋_GBK" w:cs="仿宋_GB2312" w:hint="eastAsia"/>
          <w:bCs/>
          <w:sz w:val="44"/>
          <w:szCs w:val="44"/>
        </w:rPr>
        <w:t>林木种质资源库</w:t>
      </w:r>
    </w:p>
    <w:p>
      <w:pPr>
        <w:jc w:val="center"/>
        <w:rPr>
          <w:rFonts w:ascii="方正大标宋_GBK" w:eastAsia="方正大标宋_GBK" w:cs="仿宋_GB2312"/>
          <w:bCs/>
          <w:sz w:val="44"/>
          <w:szCs w:val="44"/>
        </w:rPr>
      </w:pPr>
      <w:r>
        <w:rPr>
          <w:rFonts w:ascii="方正大标宋_GBK" w:eastAsia="方正大标宋_GBK" w:cs="仿宋_GB2312" w:hint="eastAsia"/>
          <w:bCs/>
          <w:sz w:val="44"/>
          <w:szCs w:val="44"/>
        </w:rPr>
        <w:t>申报书</w:t>
      </w:r>
    </w:p>
    <w:p>
      <w:pPr>
        <w:ind w:firstLine="510"/>
        <w:jc w:val="center"/>
        <w:rPr>
          <w:rFonts w:ascii="方正仿宋_GBK" w:eastAsia="方正仿宋_GBK" w:cs="仿宋_GB2312"/>
          <w:b/>
          <w:sz w:val="32"/>
          <w:szCs w:val="32"/>
        </w:rPr>
      </w:pPr>
    </w:p>
    <w:p>
      <w:pPr>
        <w:ind w:firstLine="510"/>
        <w:jc w:val="center"/>
        <w:rPr>
          <w:rFonts w:ascii="方正仿宋_GBK" w:eastAsia="方正仿宋_GBK" w:cs="仿宋_GB2312"/>
          <w:b/>
          <w:sz w:val="32"/>
          <w:szCs w:val="32"/>
        </w:rPr>
      </w:pPr>
    </w:p>
    <w:p>
      <w:pPr>
        <w:ind w:firstLine="510"/>
        <w:jc w:val="center"/>
        <w:rPr>
          <w:rFonts w:ascii="方正仿宋_GBK" w:eastAsia="方正仿宋_GBK" w:cs="仿宋_GB2312"/>
          <w:b/>
          <w:sz w:val="32"/>
          <w:szCs w:val="32"/>
        </w:rPr>
      </w:pPr>
    </w:p>
    <w:p>
      <w:pPr>
        <w:rPr>
          <w:rFonts w:ascii="方正仿宋_GBK" w:eastAsia="方正仿宋_GBK" w:cs="仿宋_GB2312"/>
          <w:b/>
          <w:sz w:val="32"/>
          <w:szCs w:val="32"/>
        </w:rPr>
      </w:pPr>
    </w:p>
    <w:p>
      <w:pPr>
        <w:ind w:left="92" w:hangingChars="29" w:hanging="92"/>
        <w:rPr>
          <w:rFonts w:ascii="方正仿宋_GBK" w:eastAsia="方正仿宋_GBK" w:cs="仿宋_GB2312"/>
          <w:bCs/>
          <w:sz w:val="32"/>
          <w:szCs w:val="32"/>
          <w:u w:val="single"/>
        </w:rPr>
      </w:pPr>
      <w:r>
        <w:rPr>
          <w:rFonts w:ascii="方正仿宋_GBK" w:eastAsia="方正仿宋_GBK" w:cs="仿宋_GB2312"/>
          <w:sz w:val="32"/>
          <w:szCs w:val="32"/>
        </w:rPr>
        <w:t xml:space="preserve">       林</w:t>
      </w:r>
      <w:r>
        <w:rPr>
          <w:rFonts w:ascii="方正仿宋_GBK" w:eastAsia="方正仿宋_GBK" w:cs="仿宋_GB2312" w:hint="eastAsia"/>
          <w:sz w:val="32"/>
          <w:szCs w:val="32"/>
        </w:rPr>
        <w:t>木</w:t>
      </w:r>
      <w:r>
        <w:rPr>
          <w:rFonts w:ascii="方正仿宋_GBK" w:eastAsia="方正仿宋_GBK" w:cs="仿宋_GB2312" w:hint="eastAsia"/>
          <w:bCs/>
          <w:sz w:val="32"/>
          <w:szCs w:val="32"/>
        </w:rPr>
        <w:t>种质资源库名称</w:t>
      </w:r>
    </w:p>
    <w:p>
      <w:pPr>
        <w:ind w:left="92" w:hangingChars="29" w:hanging="92"/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      申  报  类  型</w:t>
      </w:r>
    </w:p>
    <w:p>
      <w:pPr>
        <w:ind w:firstLineChars="297" w:firstLine="950"/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申  报  单  位</w:t>
      </w:r>
    </w:p>
    <w:p>
      <w:pPr>
        <w:ind w:firstLineChars="297" w:firstLine="950"/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申  报  时  间</w:t>
      </w:r>
    </w:p>
    <w:p>
      <w:pPr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      联    系    人</w:t>
      </w:r>
    </w:p>
    <w:p>
      <w:pPr>
        <w:rPr>
          <w:rFonts w:ascii="方正仿宋_GBK" w:eastAsia="方正仿宋_GBK" w:cs="仿宋_GB2312"/>
          <w:bCs/>
          <w:sz w:val="32"/>
          <w:szCs w:val="32"/>
        </w:rPr>
      </w:pPr>
      <w:r>
        <w:rPr>
          <w:rFonts w:ascii="方正仿宋_GBK" w:eastAsia="方正仿宋_GBK" w:cs="仿宋_GB2312"/>
          <w:bCs/>
          <w:sz w:val="32"/>
          <w:szCs w:val="32"/>
        </w:rPr>
        <w:t xml:space="preserve">       联  系  电  话</w:t>
      </w:r>
    </w:p>
    <w:p>
      <w:pPr>
        <w:rPr>
          <w:rFonts w:ascii="方正仿宋_GBK" w:eastAsia="方正仿宋_GBK" w:cs="仿宋_GB2312"/>
          <w:bCs/>
          <w:sz w:val="32"/>
          <w:szCs w:val="32"/>
        </w:rPr>
      </w:pPr>
    </w:p>
    <w:p>
      <w:pPr>
        <w:rPr>
          <w:rFonts w:ascii="方正仿宋_GBK" w:eastAsia="方正仿宋_GBK" w:cs="仿宋_GB2312"/>
          <w:bCs/>
          <w:sz w:val="32"/>
          <w:szCs w:val="32"/>
        </w:rPr>
      </w:pPr>
    </w:p>
    <w:p>
      <w:pPr>
        <w:rPr>
          <w:rFonts w:ascii="方正仿宋_GBK" w:eastAsia="方正仿宋_GBK" w:cs="仿宋_GB2312"/>
          <w:bCs/>
          <w:sz w:val="32"/>
          <w:szCs w:val="32"/>
        </w:rPr>
      </w:pPr>
    </w:p>
    <w:p>
      <w:pPr>
        <w:jc w:val="center"/>
        <w:rPr>
          <w:rFonts w:ascii="方正仿宋_GBK" w:eastAsia="方正仿宋_GBK" w:cs="仿宋_GB2312"/>
          <w:sz w:val="32"/>
          <w:szCs w:val="32"/>
        </w:rPr>
      </w:pPr>
      <w:r>
        <w:rPr>
          <w:rFonts w:ascii="方正仿宋_GBK" w:eastAsia="方正仿宋_GBK" w:cs="仿宋_GB2312" w:hint="eastAsia"/>
          <w:sz w:val="32"/>
          <w:szCs w:val="32"/>
          <w:lang w:eastAsia="zh-CN"/>
        </w:rPr>
        <w:t>广东省林业局</w:t>
      </w:r>
      <w:r>
        <w:rPr>
          <w:rFonts w:ascii="方正仿宋_GBK" w:eastAsia="方正仿宋_GBK" w:cs="仿宋_GB2312" w:hint="eastAsia"/>
          <w:sz w:val="32"/>
          <w:szCs w:val="32"/>
        </w:rPr>
        <w:t>编制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b/>
          <w:bCs/>
          <w:sz w:val="32"/>
          <w:szCs w:val="32"/>
        </w:rPr>
        <w:br w:type="page"/>
      </w:r>
      <w:r>
        <w:rPr>
          <w:rFonts w:ascii="仿宋_GB2312" w:eastAsia="仿宋_GB2312" w:cs="仿宋_GB2312" w:hint="eastAsia"/>
          <w:b/>
          <w:bCs/>
          <w:sz w:val="32"/>
          <w:szCs w:val="32"/>
        </w:rPr>
        <w:t>填 表 说 明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一、编号，申报单位不填写。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二、申报类型为</w:t>
      </w:r>
      <w:r>
        <w:rPr>
          <w:rFonts w:ascii="方正仿宋_GBK" w:eastAsia="方正仿宋_GBK" w:hint="eastAsia"/>
          <w:color w:val="000000"/>
          <w:spacing w:val="6"/>
          <w:sz w:val="30"/>
          <w:szCs w:val="30"/>
        </w:rPr>
        <w:t>林木种质资源异地或原地保存库。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三、申报单位为自愿申请为</w:t>
      </w:r>
      <w:r>
        <w:rPr>
          <w:rFonts w:ascii="方正仿宋_GBK" w:eastAsia="方正仿宋_GBK" w:cs="仿宋_GB2312" w:hint="eastAsia"/>
          <w:sz w:val="30"/>
          <w:szCs w:val="30"/>
          <w:lang w:eastAsia="zh-CN"/>
        </w:rPr>
        <w:t>省级</w:t>
      </w:r>
      <w:r>
        <w:rPr>
          <w:rFonts w:ascii="方正仿宋_GBK" w:eastAsia="方正仿宋_GBK" w:cs="仿宋_GB2312" w:hint="eastAsia"/>
          <w:sz w:val="30"/>
          <w:szCs w:val="30"/>
        </w:rPr>
        <w:t>林木种质资源库的具体实施单位。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四、“地理位置”指林木种质资源库所在的县级行政区划单位名称。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五、“地理坐标”指林木种质资源库所跨的经纬度范围。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六、林木种质资源库的认定与命名情况，已命名为</w:t>
      </w:r>
      <w:r>
        <w:rPr>
          <w:rFonts w:ascii="方正仿宋_GBK" w:eastAsia="方正仿宋_GBK" w:cs="仿宋_GB2312" w:hint="eastAsia"/>
          <w:sz w:val="30"/>
          <w:szCs w:val="30"/>
          <w:lang w:eastAsia="zh-CN"/>
        </w:rPr>
        <w:t>其他</w:t>
      </w:r>
      <w:r>
        <w:rPr>
          <w:rFonts w:ascii="方正仿宋_GBK" w:eastAsia="方正仿宋_GBK" w:cs="仿宋_GB2312" w:hint="eastAsia"/>
          <w:sz w:val="30"/>
          <w:szCs w:val="30"/>
        </w:rPr>
        <w:t>林木种质资源库的填写文号和种质资源库名称，并另附命名文件复印件。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七、“自养能力情况”主要包括自养手段，每年纯收入及其占总支出的比例等内容。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八、“基础设施概况”主要包括现有业务用房、辅助用房、生活用房、交通工具、通讯手段、重要仪器设备的情况。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九、“研究概况”主要包括已完成的科研项目名称及成果、正在进行的科研项目名称、科研计划及国际合作交流计划等内容。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十、“自然环境状况”主要包括自然条件和自然资源概况、现存和潜在的环境问题等内容。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十一、“周围地区社会经济状况”主要指社会、经济活动对保护对象可能造成的影响及其预防措施。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十二、按申报书格式填写，位置不够可适当加页，但不得改变格式和内容。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十三、本申报书一式一份，与其他申报材料一并报送，申报材料统一用A4规格纸印制。</w:t>
      </w:r>
    </w:p>
    <w:p>
      <w:pPr>
        <w:adjustRightInd w:val="0"/>
        <w:snapToGrid w:val="0"/>
        <w:ind w:firstLine="510"/>
        <w:rPr>
          <w:rFonts w:ascii="方正仿宋_GBK" w:eastAsia="方正仿宋_GBK" w:cs="仿宋_GB2312"/>
          <w:sz w:val="30"/>
          <w:szCs w:val="30"/>
        </w:rPr>
      </w:pPr>
      <w:r>
        <w:rPr>
          <w:rFonts w:ascii="方正仿宋_GBK" w:eastAsia="方正仿宋_GBK" w:cs="仿宋_GB2312" w:hint="eastAsia"/>
          <w:sz w:val="30"/>
          <w:szCs w:val="30"/>
        </w:rPr>
        <w:t>十四、申报书的内容和填报要求，由</w:t>
      </w:r>
      <w:r>
        <w:rPr>
          <w:rFonts w:ascii="方正仿宋_GBK" w:eastAsia="方正仿宋_GBK" w:cs="仿宋_GB2312" w:hint="eastAsia"/>
          <w:sz w:val="30"/>
          <w:szCs w:val="30"/>
          <w:lang w:eastAsia="zh-CN"/>
        </w:rPr>
        <w:t>广东省林业局</w:t>
      </w:r>
      <w:r>
        <w:rPr>
          <w:rFonts w:ascii="方正仿宋_GBK" w:eastAsia="方正仿宋_GBK" w:cs="仿宋_GB2312" w:hint="eastAsia"/>
          <w:sz w:val="30"/>
          <w:szCs w:val="30"/>
        </w:rPr>
        <w:t>负责解释。</w:t>
      </w:r>
    </w:p>
    <w:tbl>
      <w:tblPr>
        <w:jc w:val="lef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859"/>
        <w:gridCol w:w="114"/>
        <w:gridCol w:w="1041"/>
        <w:gridCol w:w="813"/>
        <w:gridCol w:w="228"/>
        <w:gridCol w:w="1024"/>
        <w:gridCol w:w="931"/>
      </w:tblGrid>
      <w:tr>
        <w:trPr>
          <w:trHeight w:hRule="exact" w:val="512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ind w:firstLineChars="50" w:firstLine="120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种质资源库名称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512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主要保护对象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512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地理位置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512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地理坐标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512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规模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（公顷）</w:t>
            </w:r>
          </w:p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总面积</w:t>
            </w:r>
          </w:p>
        </w:tc>
        <w:tc>
          <w:tcPr>
            <w:tcW w:w="21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核心区</w:t>
            </w:r>
          </w:p>
        </w:tc>
        <w:tc>
          <w:tcPr>
            <w:tcW w:w="19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附属区</w:t>
            </w:r>
          </w:p>
        </w:tc>
      </w:tr>
      <w:tr>
        <w:trPr>
          <w:trHeight w:hRule="exact" w:val="657"/>
        </w:trPr>
        <w:tc>
          <w:tcPr>
            <w:tcW w:w="2410" w:type="dxa"/>
            <w:vMerge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85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219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9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906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土地</w:t>
            </w:r>
            <w:r>
              <w:rPr>
                <w:rFonts w:ascii="方正仿宋_GBK" w:eastAsia="方正仿宋_GBK" w:cs="仿宋_GB2312" w:hint="eastAsia"/>
                <w:sz w:val="24"/>
                <w:lang w:val="en-US" w:eastAsia="zh-CN"/>
              </w:rPr>
              <w:t>类别、</w:t>
            </w:r>
            <w:r>
              <w:rPr>
                <w:rFonts w:ascii="方正仿宋_GBK" w:eastAsia="方正仿宋_GBK" w:cs="仿宋_GB2312" w:hint="eastAsia"/>
                <w:sz w:val="24"/>
              </w:rPr>
              <w:t>权属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和使用权情况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906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 w:hint="eastAsia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  <w:lang w:eastAsia="zh-CN"/>
              </w:rPr>
              <w:t>是否</w:t>
            </w:r>
            <w:r>
              <w:rPr>
                <w:rFonts w:ascii="方正仿宋_GBK" w:eastAsia="方正仿宋_GBK" w:cs="仿宋_GB2312" w:hint="eastAsia"/>
                <w:sz w:val="24"/>
              </w:rPr>
              <w:t>符合耕地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 w:hint="eastAsia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保护规定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964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始建时间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和级别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批准机关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和文号</w:t>
            </w: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870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现级别和批准时间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批准机关</w:t>
            </w:r>
          </w:p>
          <w:p>
            <w:pPr>
              <w:spacing w:line="32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和文号</w:t>
            </w: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949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建设单位</w:t>
            </w:r>
          </w:p>
          <w:p>
            <w:pPr>
              <w:spacing w:line="34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名称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主管部门</w:t>
            </w:r>
          </w:p>
        </w:tc>
        <w:tc>
          <w:tcPr>
            <w:tcW w:w="21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trHeight w:hRule="exact" w:val="989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人员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编制</w:t>
            </w:r>
          </w:p>
        </w:tc>
        <w:tc>
          <w:tcPr>
            <w:tcW w:w="19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0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现有管理人员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现有科技人员</w:t>
            </w:r>
          </w:p>
        </w:tc>
        <w:tc>
          <w:tcPr>
            <w:tcW w:w="931" w:type="dxa"/>
            <w:tcBorders>
              <w:tl2br w:val="nil"/>
              <w:tr2bl w:val="nil"/>
            </w:tcBorders>
          </w:tcPr>
          <w:p>
            <w:pPr>
              <w:keepNext/>
              <w:keepLines/>
              <w:widowControl w:val="0"/>
              <w:spacing w:before="340" w:after="330" w:line="578" w:lineRule="auto"/>
              <w:jc w:val="center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cantSplit/>
          <w:trHeight w:val="696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技术依托单位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cantSplit/>
          <w:trHeight w:val="692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种质资源库保存方式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cantSplit/>
          <w:trHeight w:val="321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林木种质资源库的认定与命名情况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cantSplit/>
          <w:trHeight w:val="947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固定经费来源</w:t>
            </w:r>
          </w:p>
          <w:p>
            <w:pPr>
              <w:spacing w:line="360" w:lineRule="exact"/>
              <w:jc w:val="center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和数额（万元）</w:t>
            </w:r>
          </w:p>
        </w:tc>
        <w:tc>
          <w:tcPr>
            <w:tcW w:w="601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cantSplit/>
          <w:trHeight w:val="2094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自养能力情况</w:t>
            </w: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</w:tc>
      </w:tr>
      <w:tr>
        <w:trPr>
          <w:cantSplit/>
          <w:trHeight w:val="2967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基础设施、资源收集、保护及研究概况</w:t>
            </w:r>
          </w:p>
        </w:tc>
      </w:tr>
      <w:tr>
        <w:trPr>
          <w:cantSplit/>
          <w:trHeight w:val="2966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自然环境概况</w:t>
            </w:r>
          </w:p>
        </w:tc>
      </w:tr>
      <w:tr>
        <w:trPr>
          <w:cantSplit/>
          <w:trHeight w:val="2541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主要保护对象概况</w:t>
            </w:r>
          </w:p>
        </w:tc>
      </w:tr>
      <w:tr>
        <w:trPr>
          <w:cantSplit/>
          <w:trHeight w:val="1935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周围地区社会经济状况简介</w:t>
            </w:r>
          </w:p>
        </w:tc>
      </w:tr>
      <w:tr>
        <w:trPr>
          <w:cantSplit/>
          <w:trHeight w:val="3143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建立林木种质资源库的综合价值</w:t>
            </w:r>
          </w:p>
        </w:tc>
      </w:tr>
      <w:tr>
        <w:trPr>
          <w:cantSplit/>
          <w:trHeight w:val="3392"/>
        </w:trPr>
        <w:tc>
          <w:tcPr>
            <w:tcW w:w="8420" w:type="dxa"/>
            <w:gridSpan w:val="8"/>
            <w:tcBorders>
              <w:bottom w:val="nil"/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申报单位意见</w:t>
            </w: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ind w:firstLineChars="2100" w:firstLine="5040"/>
              <w:rPr>
                <w:rFonts w:ascii="方正仿宋_GBK" w:eastAsia="方正仿宋_GBK" w:cs="仿宋_GB2312"/>
                <w:sz w:val="24"/>
              </w:rPr>
            </w:pPr>
          </w:p>
          <w:p>
            <w:pPr>
              <w:ind w:firstLineChars="2100" w:firstLine="5040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（公章）</w:t>
            </w:r>
          </w:p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/>
                <w:sz w:val="24"/>
              </w:rPr>
              <w:t xml:space="preserve">                                       年    月    日</w:t>
            </w:r>
          </w:p>
        </w:tc>
      </w:tr>
      <w:tr>
        <w:trPr>
          <w:trHeight w:val="4449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所在地县（市、区）林草主管部门意见</w:t>
            </w:r>
          </w:p>
          <w:p>
            <w:pPr>
              <w:keepNext/>
              <w:keepLines/>
              <w:widowControl w:val="0"/>
              <w:spacing w:before="260" w:after="260" w:line="415" w:lineRule="auto"/>
              <w:rPr>
                <w:rFonts w:ascii="方正仿宋_GBK" w:eastAsia="方正仿宋_GBK" w:cs="仿宋_GB2312"/>
                <w:sz w:val="24"/>
              </w:rPr>
            </w:pPr>
          </w:p>
          <w:p>
            <w:pPr>
              <w:keepNext/>
              <w:keepLines/>
              <w:widowControl w:val="0"/>
              <w:spacing w:before="260" w:after="260" w:line="415" w:lineRule="auto"/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/>
                <w:sz w:val="24"/>
              </w:rPr>
              <w:t xml:space="preserve">                                         （公章）</w:t>
            </w:r>
          </w:p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/>
                <w:sz w:val="24"/>
              </w:rPr>
              <w:t xml:space="preserve">                                       年    月    日</w:t>
            </w:r>
          </w:p>
        </w:tc>
      </w:tr>
      <w:tr>
        <w:trPr>
          <w:trHeight w:val="5663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所在</w:t>
            </w:r>
            <w:r>
              <w:rPr>
                <w:rFonts w:ascii="方正仿宋_GBK" w:eastAsia="方正仿宋_GBK" w:cs="仿宋_GB2312" w:hint="eastAsia"/>
                <w:sz w:val="24"/>
                <w:lang w:eastAsia="zh-CN"/>
              </w:rPr>
              <w:t>地级市</w:t>
            </w:r>
            <w:r>
              <w:rPr>
                <w:rFonts w:ascii="方正仿宋_GBK" w:eastAsia="方正仿宋_GBK" w:cs="仿宋_GB2312" w:hint="eastAsia"/>
                <w:sz w:val="24"/>
              </w:rPr>
              <w:t>林草主管部门意见</w:t>
            </w:r>
          </w:p>
          <w:p>
            <w:pPr>
              <w:keepNext/>
              <w:keepLines/>
              <w:widowControl w:val="0"/>
              <w:spacing w:before="260" w:after="260" w:line="415" w:lineRule="auto"/>
              <w:rPr>
                <w:rFonts w:ascii="方正仿宋_GBK" w:eastAsia="方正仿宋_GBK" w:cs="仿宋_GB2312"/>
                <w:sz w:val="24"/>
              </w:rPr>
            </w:pPr>
          </w:p>
          <w:p>
            <w:pPr>
              <w:keepNext/>
              <w:keepLines/>
              <w:widowControl w:val="0"/>
              <w:spacing w:before="260" w:after="260" w:line="415" w:lineRule="auto"/>
              <w:rPr>
                <w:rFonts w:ascii="方正仿宋_GBK" w:eastAsia="方正仿宋_GBK" w:cs="仿宋_GB2312"/>
                <w:sz w:val="24"/>
              </w:rPr>
            </w:pPr>
          </w:p>
          <w:p>
            <w:pPr>
              <w:keepNext/>
              <w:keepLines/>
              <w:widowControl w:val="0"/>
              <w:spacing w:before="260" w:after="260" w:line="415" w:lineRule="auto"/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/>
                <w:sz w:val="24"/>
              </w:rPr>
              <w:t xml:space="preserve">                                         （公章）</w:t>
            </w:r>
          </w:p>
          <w:p>
            <w:pPr>
              <w:jc w:val="left"/>
              <w:rPr>
                <w:rFonts w:ascii="方正仿宋_GBK" w:eastAsia="方正仿宋_GBK" w:cs="仿宋_GB2312"/>
                <w:sz w:val="24"/>
                <w:u w:val="single"/>
              </w:rPr>
            </w:pPr>
            <w:r>
              <w:rPr>
                <w:rFonts w:ascii="方正仿宋_GBK" w:eastAsia="方正仿宋_GBK" w:cs="仿宋_GB2312"/>
                <w:sz w:val="24"/>
              </w:rPr>
              <w:t xml:space="preserve">                                       年    月    日</w:t>
            </w:r>
          </w:p>
        </w:tc>
      </w:tr>
      <w:tr>
        <w:trPr>
          <w:trHeight w:val="9346"/>
        </w:trPr>
        <w:tc>
          <w:tcPr>
            <w:tcW w:w="8420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专家论证意见</w:t>
            </w: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rPr>
                <w:rFonts w:ascii="方正仿宋_GBK" w:eastAsia="方正仿宋_GBK" w:cs="仿宋_GB2312"/>
                <w:sz w:val="24"/>
              </w:rPr>
            </w:pPr>
          </w:p>
          <w:p>
            <w:pPr>
              <w:ind w:firstLineChars="1850" w:firstLine="4440"/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主任委员（签名）：</w:t>
            </w:r>
          </w:p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/>
                <w:sz w:val="24"/>
              </w:rPr>
              <w:t xml:space="preserve">                                         年    月    日</w:t>
            </w:r>
          </w:p>
        </w:tc>
      </w:tr>
      <w:tr>
        <w:trPr>
          <w:trHeight w:val="3873"/>
        </w:trPr>
        <w:tc>
          <w:tcPr>
            <w:tcW w:w="8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 w:cs="仿宋_GB2312"/>
                <w:sz w:val="24"/>
              </w:rPr>
            </w:pPr>
            <w:r>
              <w:rPr>
                <w:rFonts w:ascii="方正仿宋_GBK" w:eastAsia="方正仿宋_GBK" w:cs="仿宋_GB2312" w:hint="eastAsia"/>
                <w:sz w:val="24"/>
              </w:rPr>
              <w:t>备注</w:t>
            </w:r>
          </w:p>
        </w:tc>
      </w:tr>
    </w:tbl>
    <w:p>
      <w:pPr>
        <w:rPr>
          <w:rFonts w:ascii="方正仿宋_GBK" w:eastAsia="方正仿宋_GBK" w:cs="仿宋_GB2312"/>
          <w:sz w:val="24"/>
        </w:rPr>
      </w:pPr>
      <w:r>
        <w:rPr>
          <w:rFonts w:ascii="方正仿宋_GBK" w:eastAsia="方正仿宋_GBK" w:cs="仿宋_GB2312" w:hint="eastAsia"/>
          <w:sz w:val="24"/>
        </w:rPr>
        <w:t>注：此表所列分栏不够填写可另加附页</w:t>
      </w:r>
    </w:p>
    <w:p>
      <w:pPr>
        <w:jc w:val="center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种质资源库保存种质资源目录</w:t>
      </w:r>
    </w:p>
    <w:tbl>
      <w:tblPr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450"/>
        <w:gridCol w:w="2098"/>
        <w:gridCol w:w="1871"/>
        <w:gridCol w:w="2142"/>
      </w:tblGrid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种质名称</w:t>
            </w: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种名（拉丁名）</w:t>
            </w: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tabs>
                <w:tab w:val="left" w:pos="2063"/>
              </w:tabs>
              <w:ind w:firstLineChars="50" w:firstLine="14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种质类型</w:t>
            </w: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tabs>
                <w:tab w:val="left" w:pos="2063"/>
              </w:tabs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保存数量（株）</w:t>
            </w: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61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50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98" w:type="dxa"/>
            <w:tcBorders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871" w:type="dxa"/>
            <w:tcBorders>
              <w:righ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142" w:type="dxa"/>
            <w:tcBorders>
              <w:left w:val="single" w:sz="4" w:space="0" w:color="auto"/>
              <w:tl2br w:val="nil"/>
              <w:tr2bl w:val="nil"/>
            </w:tcBorders>
          </w:tcPr>
          <w:p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ascii="方正仿宋_GBK" w:eastAsia="方正仿宋_GBK"/>
          <w:sz w:val="30"/>
          <w:szCs w:val="30"/>
        </w:rPr>
      </w:pPr>
    </w:p>
    <w:p>
      <w:pPr>
        <w:spacing w:line="360" w:lineRule="exac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注：1、异地保存库需填写此表，原地保存库不需要填写。</w:t>
      </w:r>
    </w:p>
    <w:p>
      <w:pPr>
        <w:spacing w:line="360" w:lineRule="exact"/>
        <w:ind w:firstLineChars="200" w:firstLine="480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2、种质类型填写种源、家系、无性系或品种。</w:t>
      </w:r>
    </w:p>
    <w:p>
      <w:pPr>
        <w:spacing w:line="360" w:lineRule="exact"/>
        <w:ind w:firstLineChars="200" w:firstLine="480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3、此表可另加附页。</w:t>
      </w:r>
    </w:p>
    <w:p>
      <w:pPr>
        <w:ind w:firstLineChars="50" w:firstLine="120"/>
        <w:rPr>
          <w:rFonts w:ascii="方正仿宋_GBK" w:eastAsia="方正仿宋_GBK" w:cs="仿宋_GB2312"/>
          <w:kern w:val="0"/>
          <w:sz w:val="24"/>
        </w:rPr>
        <w:sectPr>
          <w:headerReference w:type="default" r:id="rId2"/>
          <w:footerReference w:type="default" r:id="rId3"/>
          <w:pgSz w:w="11906" w:h="16838"/>
          <w:pgMar w:top="1240" w:right="1800" w:bottom="1318" w:left="1800" w:header="851" w:footer="992" w:gutter="0"/>
          <w:pgNumType w:fmt="numberInDash"/>
          <w:docGrid w:type="lines" w:linePitch="312" w:charSpace="0"/>
        </w:sectPr>
      </w:pPr>
    </w:p>
    <w:p>
      <w:pPr>
        <w:rPr>
          <w:rFonts w:ascii="方正仿宋_GBK" w:eastAsia="方正仿宋_GBK"/>
          <w:sz w:val="30"/>
          <w:szCs w:val="30"/>
        </w:rPr>
      </w:pPr>
    </w:p>
    <w:p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  <w:lang w:eastAsia="zh-CN"/>
        </w:rPr>
        <w:t>省级</w:t>
      </w:r>
      <w:r>
        <w:rPr>
          <w:rFonts w:ascii="方正小标宋_GBK" w:eastAsia="方正小标宋_GBK" w:hint="eastAsia"/>
          <w:sz w:val="32"/>
          <w:szCs w:val="32"/>
        </w:rPr>
        <w:t>林木种质资源库推荐表</w:t>
      </w:r>
    </w:p>
    <w:p/>
    <w:p/>
    <w:p/>
    <w:tbl>
      <w:tblPr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385"/>
        <w:gridCol w:w="1495"/>
        <w:gridCol w:w="2590"/>
        <w:gridCol w:w="1408"/>
      </w:tblGrid>
      <w:t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序号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保存树种</w:t>
            </w: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保存份数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（份）</w:t>
            </w: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保存面积（核心区面积）（公顷）</w:t>
            </w:r>
          </w:p>
        </w:tc>
        <w:tc>
          <w:tcPr>
            <w:tcW w:w="1408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类型</w:t>
            </w:r>
          </w:p>
        </w:tc>
      </w:tr>
      <w:t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>
        <w:tc>
          <w:tcPr>
            <w:tcW w:w="9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59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8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>
      <w:pPr>
        <w:spacing w:line="400" w:lineRule="exact"/>
        <w:jc w:val="left"/>
      </w:pPr>
    </w:p>
    <w:p>
      <w:pPr>
        <w:spacing w:line="400" w:lineRule="exact"/>
        <w:jc w:val="left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注：1、同一林木种质资源库保存多个树种的，保存树种、保存份数、保存面积</w:t>
      </w:r>
    </w:p>
    <w:p>
      <w:pPr>
        <w:spacing w:line="400" w:lineRule="exact"/>
        <w:ind w:firstLineChars="400" w:firstLine="960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要分别填写。</w:t>
      </w:r>
    </w:p>
    <w:p>
      <w:pPr>
        <w:spacing w:line="400" w:lineRule="exact"/>
        <w:ind w:firstLineChars="200" w:firstLine="480"/>
        <w:rPr>
          <w:rFonts w:ascii="方正仿宋_GBK" w:eastAsia="方正仿宋_GBK"/>
          <w:sz w:val="24"/>
        </w:rPr>
      </w:pPr>
      <w:r>
        <w:rPr>
          <w:rFonts w:ascii="方正仿宋_GBK" w:eastAsia="方正仿宋_GBK" w:hint="eastAsia"/>
          <w:sz w:val="24"/>
        </w:rPr>
        <w:t>2、类型填写原地保存库或异地保存库。</w:t>
      </w:r>
    </w:p>
    <w:p>
      <w:pPr>
        <w:rPr>
          <w:rFonts w:ascii="仿宋_GB2312" w:eastAsia="仿宋_GB2312"/>
          <w:sz w:val="32"/>
          <w:szCs w:val="32"/>
        </w:rPr>
      </w:pPr>
    </w:p>
    <w:p/>
    <w:p>
      <w:pPr>
        <w:ind w:firstLine="645"/>
        <w:rPr>
          <w:rFonts w:ascii="方正仿宋_GBK" w:eastAsia="方正仿宋_GBK"/>
          <w:spacing w:val="6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script"/>
    <w:pitch w:val="variable"/>
    <w:sig w:usb0="00000000" w:usb1="00000000" w:usb2="00000010" w:usb3="00000000" w:csb0="00040000" w:csb1="00000000"/>
  </w:font>
  <w:font w:name="方正小标宋_GBK">
    <w:altName w:val="宋体"/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altName w:val="Nimbus Roman No9 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9"/>
      <w:tabs>
        <w:tab w:val="clear" w:pos="4153"/>
        <w:tab w:val="clear" w:pos="8306"/>
        <w:tab w:val="center" w:pos="4153"/>
        <w:tab w:val="right" w:pos="8306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-</w:t>
    </w:r>
    <w:r>
      <w:t xml:space="preserve"> 7 -</w:t>
    </w:r>
    <w:r>
      <w:fldChar w:fldCharType="end"/>
    </w:r>
  </w:p>
  <w:p>
    <w:pPr>
      <w:pStyle w:val="19"/>
      <w:tabs>
        <w:tab w:val="clear" w:pos="4153"/>
        <w:tab w:val="clear" w:pos="8306"/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21"/>
      <w:pBdr>
        <w:bottom w:val="none" w:sz="0" w:space="0" w:color="auto"/>
      </w:pBdr>
      <w:tabs>
        <w:tab w:val="clear" w:pos="4153"/>
        <w:tab w:val="clear" w:pos="8306"/>
        <w:tab w:val="center" w:pos="4153"/>
        <w:tab w:val="right" w:pos="8306"/>
      </w:tabs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trackRevisions/>
  <w:defaultTabStop w:val="420"/>
  <w:drawingGridHorizontalSpacing w:val="18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annotation text"/>
    <w:basedOn w:val="0"/>
    <w:pPr>
      <w:jc w:val="left"/>
    </w:pPr>
  </w:style>
  <w:style w:type="paragraph" w:styleId="17">
    <w:name w:val="Balloon Text"/>
    <w:basedOn w:val="0"/>
    <w:rPr>
      <w:sz w:val="18"/>
      <w:szCs w:val="1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 w:cs="Times New Roman" w:hAnsi="Calibri"/>
      <w:sz w:val="18"/>
      <w:szCs w:val="18"/>
    </w:rPr>
  </w:style>
  <w:style w:type="paragraph" w:styleId="21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cs="Times New Roman" w:hAnsi="Calibri"/>
      <w:sz w:val="18"/>
      <w:szCs w:val="18"/>
    </w:rPr>
  </w:style>
  <w:style w:type="paragraph" w:styleId="23">
    <w:name w:val="annotation subject"/>
    <w:basedOn w:val="15"/>
    <w:next w:val="15"/>
    <w:rPr>
      <w:b/>
      <w:bCs/>
    </w:rPr>
  </w:style>
  <w:style w:type="paragraph" w:styleId="25">
    <w:name w:val="toc 1"/>
    <w:basedOn w:val="0"/>
    <w:autoRedefine/>
    <w:next w:val="0"/>
  </w:style>
  <w:style w:type="character" w:styleId="26">
    <w:name w:val="annotation reference"/>
    <w:basedOn w:val="10"/>
    <w:rPr>
      <w:sz w:val="21"/>
      <w:szCs w:val="21"/>
    </w:rPr>
  </w:style>
  <w:style w:type="paragraph" w:styleId="27">
    <w:name w:val="toc 2"/>
    <w:basedOn w:val="0"/>
    <w:autoRedefine/>
    <w:next w:val="0"/>
    <w:pPr>
      <w:ind w:left="420"/>
    </w:pPr>
  </w:style>
  <w:style w:type="paragraph" w:styleId="28">
    <w:name w:val="toc 3"/>
    <w:basedOn w:val="0"/>
    <w:autoRedefine/>
    <w:next w:val="0"/>
    <w:pPr>
      <w:ind w:left="840"/>
    </w:pPr>
  </w:style>
  <w:style w:type="paragraph" w:styleId="29">
    <w:name w:val="toc 4"/>
    <w:basedOn w:val="0"/>
    <w:autoRedefine/>
    <w:next w:val="0"/>
    <w:pPr>
      <w:ind w:left="1260"/>
    </w:pPr>
  </w:style>
  <w:style w:type="paragraph" w:styleId="30">
    <w:name w:val="toc 5"/>
    <w:basedOn w:val="0"/>
    <w:autoRedefine/>
    <w:next w:val="0"/>
    <w:pPr>
      <w:ind w:left="168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14115543</TotalTime>
  <Application>Yozo_Office27021597764231179</Application>
  <Pages>8</Pages>
  <Words>1070</Words>
  <Characters>1071</Characters>
  <Lines>266</Lines>
  <Paragraphs>100</Paragraphs>
  <CharactersWithSpaces>1444</CharactersWithSpaces>
  <Company>神州网信技术有限公司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lee</dc:creator>
  <cp:lastModifiedBy>葛成灿</cp:lastModifiedBy>
  <cp:revision>4</cp:revision>
  <cp:lastPrinted>2020-09-29T04:19:00Z</cp:lastPrinted>
  <dcterms:created xsi:type="dcterms:W3CDTF">2020-10-19T01:00:00Z</dcterms:created>
  <dcterms:modified xsi:type="dcterms:W3CDTF">2023-02-22T03:27:40Z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2052-11.8.2.10125</vt:lpwstr>
  </property>
</Properties>
</file>