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tabs>
          <w:tab w:val="left" w:pos="360"/>
        </w:tabs>
        <w:kinsoku/>
        <w:wordWrap/>
        <w:overflowPunct/>
        <w:topLinePunct w:val="0"/>
        <w:autoSpaceDE/>
        <w:autoSpaceDN/>
        <w:bidi w:val="0"/>
        <w:adjustRightInd/>
        <w:snapToGrid/>
        <w:spacing w:line="600" w:lineRule="exact"/>
        <w:ind w:left="0" w:right="0" w:firstLine="0"/>
        <w:jc w:val="left"/>
        <w:textAlignment w:val="auto"/>
        <w:outlineLvl w:val="9"/>
        <w:rPr>
          <w:rFonts w:ascii="仿宋_GB2312" w:eastAsia="仿宋_GB2312"/>
          <w:b w:val="0"/>
          <w:bCs/>
          <w:sz w:val="32"/>
          <w:szCs w:val="32"/>
          <w:lang w:val="en-US" w:eastAsia="zh-CN"/>
        </w:rPr>
      </w:pPr>
      <w:bookmarkStart w:id="0" w:name="_GoBack"/>
      <w:bookmarkEnd w:id="0"/>
      <w:r>
        <w:rPr>
          <w:rFonts w:ascii="仿宋_GB2312" w:eastAsia="仿宋_GB2312" w:hint="eastAsia"/>
          <w:b w:val="0"/>
          <w:bCs/>
          <w:sz w:val="32"/>
          <w:szCs w:val="32"/>
          <w:lang w:val="en-US" w:eastAsia="zh-CN"/>
        </w:rPr>
        <w:t>附件4</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left="0" w:right="0" w:firstLine="0"/>
        <w:jc w:val="left"/>
        <w:textAlignment w:val="auto"/>
        <w:outlineLvl w:val="9"/>
        <w:rPr>
          <w:rFonts w:ascii="仿宋_GB2312" w:eastAsia="仿宋_GB2312" w:hint="eastAsia"/>
          <w:b w:val="0"/>
          <w:bCs/>
          <w:sz w:val="32"/>
          <w:szCs w:val="32"/>
          <w:lang w:val="en-US" w:eastAsia="zh-CN"/>
        </w:rPr>
      </w:pPr>
    </w:p>
    <w:p>
      <w:pPr>
        <w:spacing w:line="620" w:lineRule="exact"/>
        <w:jc w:val="center"/>
        <w:rPr>
          <w:rFonts w:ascii="宋体"/>
          <w:b/>
          <w:bCs/>
          <w:color w:val="000000"/>
          <w:sz w:val="44"/>
          <w:szCs w:val="28"/>
        </w:rPr>
      </w:pPr>
      <w:r>
        <w:rPr>
          <w:rFonts w:ascii="宋体" w:hint="eastAsia"/>
          <w:b/>
          <w:bCs/>
          <w:color w:val="000000"/>
          <w:sz w:val="44"/>
          <w:szCs w:val="28"/>
        </w:rPr>
        <w:t>广东省林业龙头企业申报认定与监测办法</w:t>
      </w:r>
    </w:p>
    <w:p>
      <w:pPr>
        <w:spacing w:line="620" w:lineRule="exact"/>
        <w:jc w:val="center"/>
        <w:rPr>
          <w:rFonts w:ascii="宋体"/>
          <w:b/>
          <w:bCs/>
          <w:color w:val="000000"/>
          <w:sz w:val="32"/>
          <w:szCs w:val="28"/>
        </w:rPr>
      </w:pPr>
    </w:p>
    <w:p>
      <w:pPr>
        <w:spacing w:line="620" w:lineRule="exact"/>
        <w:jc w:val="center"/>
        <w:rPr>
          <w:rFonts w:ascii="黑体" w:eastAsia="黑体"/>
          <w:color w:val="000000"/>
          <w:sz w:val="32"/>
          <w:szCs w:val="28"/>
        </w:rPr>
      </w:pPr>
      <w:r>
        <w:rPr>
          <w:rFonts w:ascii="黑体" w:eastAsia="黑体" w:hint="eastAsia"/>
          <w:color w:val="000000"/>
          <w:sz w:val="32"/>
          <w:szCs w:val="28"/>
        </w:rPr>
        <w:t>第一章  总则</w:t>
      </w:r>
    </w:p>
    <w:p>
      <w:pPr>
        <w:spacing w:line="620" w:lineRule="exact"/>
        <w:jc w:val="center"/>
        <w:rPr>
          <w:rFonts w:ascii="黑体" w:eastAsia="黑体"/>
          <w:color w:val="000000"/>
          <w:sz w:val="32"/>
          <w:szCs w:val="28"/>
        </w:rPr>
      </w:pP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第一条</w:t>
      </w:r>
      <w:r>
        <w:rPr>
          <w:rFonts w:ascii="仿宋" w:eastAsia="仿宋" w:hint="eastAsia"/>
          <w:color w:val="000000"/>
          <w:sz w:val="32"/>
          <w:szCs w:val="28"/>
        </w:rPr>
        <w:t xml:space="preserve"> 为加快推动广东林业产业健康发展，充分发挥龙头企业示范带动作用，规范省林业龙头企业申报认定与监测，根据《国务院关于支持农业产业化龙头企业发展的意见》（国发〔2012〕10号）和《中共广东省委、广东省人民政府关于全面推进新一轮绿化广东大行动的决定》（粤发〔2013〕11号）等制定本办法。</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第二条</w:t>
      </w:r>
      <w:r>
        <w:rPr>
          <w:rFonts w:ascii="仿宋" w:eastAsia="仿宋" w:hint="eastAsia"/>
          <w:color w:val="000000"/>
          <w:sz w:val="32"/>
          <w:szCs w:val="28"/>
        </w:rPr>
        <w:t xml:space="preserve"> 广东省林业龙头企业是指在广东省行政区域内以森林资源为依托，以林产品及其衍生品的生产、加工、服务为主业，在经营规模、企业效益、科技创新、辐射带动等方面达到规定标准，经广东省林业局认定的企业。</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第三条</w:t>
      </w:r>
      <w:r>
        <w:rPr>
          <w:rFonts w:ascii="仿宋" w:eastAsia="仿宋" w:hint="eastAsia"/>
          <w:color w:val="000000"/>
          <w:sz w:val="32"/>
          <w:szCs w:val="28"/>
        </w:rPr>
        <w:t xml:space="preserve"> 广东省林业龙头企业以“绿水青山就是金山银山”和“四个走在前列”为发展理念，通过市场运营、科技创新、高效的经营模式、科学地利用森林资源，做大、做强、做优林业产业，带动农民就业增收，促进区域经济发展，为广东率先实现现代化做出贡献。</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第四条</w:t>
      </w:r>
      <w:r>
        <w:rPr>
          <w:rFonts w:ascii="仿宋" w:eastAsia="仿宋" w:hint="eastAsia"/>
          <w:color w:val="000000"/>
          <w:sz w:val="32"/>
          <w:szCs w:val="28"/>
        </w:rPr>
        <w:t xml:space="preserve"> 广东省林业龙头企业的申报认定与监测实行自愿申报、依规评审、择优认定、动态监测、定期复核的原则。</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第五条</w:t>
      </w:r>
      <w:r>
        <w:rPr>
          <w:rFonts w:ascii="仿宋" w:eastAsia="仿宋" w:hint="eastAsia"/>
          <w:color w:val="000000"/>
          <w:sz w:val="32"/>
          <w:szCs w:val="28"/>
        </w:rPr>
        <w:t xml:space="preserve"> 广东省林业龙头企业在有效期内享受相关扶持政策，在项目资金、申报财政贴息等给予优先安排。</w:t>
      </w:r>
    </w:p>
    <w:p>
      <w:pPr>
        <w:spacing w:line="620" w:lineRule="exact"/>
        <w:ind w:firstLineChars="200" w:firstLine="640"/>
        <w:rPr>
          <w:rFonts w:ascii="仿宋" w:eastAsia="仿宋" w:cs="仿宋"/>
          <w:color w:val="000000"/>
          <w:sz w:val="32"/>
          <w:szCs w:val="28"/>
        </w:rPr>
      </w:pPr>
      <w:r>
        <w:rPr>
          <w:rFonts w:ascii="仿宋" w:eastAsia="仿宋" w:cs="仿宋" w:hint="eastAsia"/>
          <w:color w:val="000000"/>
          <w:sz w:val="32"/>
          <w:szCs w:val="28"/>
        </w:rPr>
        <w:t>根据国家政策规定，广东省林业龙头企业可申报国家林业重点龙头企业。</w:t>
      </w:r>
    </w:p>
    <w:p>
      <w:pPr>
        <w:spacing w:line="620" w:lineRule="exact"/>
        <w:rPr>
          <w:rFonts w:ascii="黑体" w:eastAsia="黑体"/>
          <w:color w:val="000000"/>
          <w:sz w:val="32"/>
          <w:szCs w:val="28"/>
        </w:rPr>
      </w:pPr>
    </w:p>
    <w:p>
      <w:pPr>
        <w:spacing w:line="620" w:lineRule="exact"/>
        <w:jc w:val="center"/>
        <w:rPr>
          <w:rFonts w:ascii="黑体" w:eastAsia="黑体"/>
          <w:color w:val="000000"/>
          <w:sz w:val="32"/>
          <w:szCs w:val="28"/>
        </w:rPr>
      </w:pPr>
      <w:r>
        <w:rPr>
          <w:rFonts w:ascii="黑体" w:eastAsia="黑体" w:hint="eastAsia"/>
          <w:color w:val="000000"/>
          <w:sz w:val="32"/>
          <w:szCs w:val="28"/>
        </w:rPr>
        <w:t>第二章  申报条件</w:t>
      </w:r>
    </w:p>
    <w:p>
      <w:pPr>
        <w:spacing w:line="620" w:lineRule="exact"/>
        <w:jc w:val="center"/>
        <w:rPr>
          <w:rFonts w:ascii="黑体" w:eastAsia="黑体"/>
          <w:color w:val="000000"/>
          <w:sz w:val="32"/>
          <w:szCs w:val="28"/>
        </w:rPr>
      </w:pP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第六条</w:t>
      </w:r>
      <w:r>
        <w:rPr>
          <w:rFonts w:ascii="仿宋" w:eastAsia="仿宋" w:hint="eastAsia"/>
          <w:color w:val="000000"/>
          <w:sz w:val="32"/>
          <w:szCs w:val="28"/>
        </w:rPr>
        <w:t xml:space="preserve"> 凡在广东省行政区域内依法设立，具有独立法人资格，依托森林资源开展林业生产经营、服务，涉林经营额占企业经营总额50%以上，开展经营活动达三年以上的各种所有制经济的企业，均可申请认定广东省林业龙头企业。</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 xml:space="preserve">第七条 </w:t>
      </w:r>
      <w:r>
        <w:rPr>
          <w:rFonts w:ascii="仿宋" w:eastAsia="仿宋" w:hint="eastAsia"/>
          <w:color w:val="000000"/>
          <w:sz w:val="32"/>
          <w:szCs w:val="28"/>
        </w:rPr>
        <w:t>申请广东省林业龙头企业的单位应具备如下条件：</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（一）企业规模大。其资产总值、生产规模、营销收入、市场份额等在省内同行业中处于领先水平。</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二）科技创新能力强。具有较强的自主研发、科技创新和可持续发展能力，主营业务符合国家产业政策、环保政策和质量管理体系要求，应用新技术、新设备、新工艺，产品质量、产品科技含量和新产品开发能力在同行业中居领先水平。</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（三）示范带动能力强。企业以资本、技术、市场、服务等为纽带，有效拉动上下游产业链共同发展，提供就业机会，带动农户增收，有效推动当地经济社会发展。</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（四）企业信誉好。企业有较强社会责任感，依法经营，照章纳税，诚实守信，在经营活动中自觉遵守行业准则，信守公开、公平、公正的市场交易规则，热心社会公益事业，综合信用与社会形象良好。近三</w:t>
      </w:r>
      <w:r>
        <w:rPr>
          <w:rFonts w:ascii="仿宋" w:eastAsia="仿宋" w:hint="eastAsia"/>
          <w:sz w:val="32"/>
          <w:szCs w:val="28"/>
        </w:rPr>
        <w:t>年内未发现违</w:t>
      </w:r>
      <w:r>
        <w:rPr>
          <w:rFonts w:ascii="仿宋" w:eastAsia="仿宋" w:hint="eastAsia"/>
          <w:color w:val="000000"/>
          <w:sz w:val="32"/>
          <w:szCs w:val="28"/>
        </w:rPr>
        <w:t>法事件。</w:t>
      </w:r>
    </w:p>
    <w:p>
      <w:pPr>
        <w:spacing w:line="620" w:lineRule="exact"/>
        <w:ind w:firstLineChars="200" w:firstLine="640"/>
        <w:rPr>
          <w:rFonts w:ascii="仿宋" w:eastAsia="仿宋" w:cs="仿宋"/>
          <w:color w:val="000000"/>
          <w:sz w:val="32"/>
          <w:szCs w:val="28"/>
        </w:rPr>
      </w:pPr>
      <w:r>
        <w:rPr>
          <w:rFonts w:ascii="仿宋" w:eastAsia="仿宋" w:cs="仿宋" w:hint="eastAsia"/>
          <w:color w:val="000000"/>
          <w:sz w:val="32"/>
          <w:szCs w:val="28"/>
        </w:rPr>
        <w:t>（五）企业管理规范。实行合理的企业</w:t>
      </w:r>
      <w:r>
        <w:rPr>
          <w:rFonts w:ascii="仿宋" w:eastAsia="仿宋" w:cs="仿宋" w:hint="eastAsia"/>
          <w:color w:val="000000"/>
          <w:sz w:val="32"/>
          <w:szCs w:val="32"/>
        </w:rPr>
        <w:t>管理模式，管理制度完善，企业组织结构健全。</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第八条</w:t>
      </w:r>
      <w:r>
        <w:rPr>
          <w:rFonts w:ascii="仿宋" w:eastAsia="仿宋" w:hint="eastAsia"/>
          <w:color w:val="000000"/>
          <w:sz w:val="32"/>
          <w:szCs w:val="28"/>
        </w:rPr>
        <w:t xml:space="preserve"> 广东省林业龙头企业申报认定与监测采取百分制评审。具体指标详见《广东省林业龙头企业申报认定与监测指标》（附件1）。</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第九条</w:t>
      </w:r>
      <w:r>
        <w:rPr>
          <w:rFonts w:ascii="仿宋" w:eastAsia="仿宋" w:hint="eastAsia"/>
          <w:color w:val="000000"/>
          <w:sz w:val="32"/>
          <w:szCs w:val="28"/>
        </w:rPr>
        <w:t xml:space="preserve"> 企业需要提交的主要材料包括：</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（一）企业近三年生产经营情况的专题介绍材料；</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（二）《广东省林业龙头企业申报表》（附件2）；</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（三）企业营业执照和企业法定代表人身份证复印件；</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（四）企业开户银行出具的资信证明；</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（五）有资质的会计师事务所出具的企业上年度财务审计报告（含资产负债表、利润表、现金流量表、财务报表附注、中介机构执业证书及营业执照复印件等）；</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（六）企业自有生产基地的林权证或其他不动产权证复印件；</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（七）县级以上（含县级）税务部门出具的企业上年度纳税证明；</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（八）企业荣誉、科研成果、产品质量认证等证明材料。</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以上资料用A4纸装订成册，一式三份报送（县、市、省各一份）。</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第十条</w:t>
      </w:r>
      <w:r>
        <w:rPr>
          <w:rFonts w:ascii="仿宋" w:eastAsia="仿宋" w:hint="eastAsia"/>
          <w:color w:val="000000"/>
          <w:sz w:val="32"/>
          <w:szCs w:val="28"/>
        </w:rPr>
        <w:t xml:space="preserve"> 企业向所在地县（市、区）林业主管部门提出申请，由县（市、区）和地级以上市林业主管部门对申报材料进行审核，将审核合格企业申报材料和推荐文件逐级上报到广东省林业局。省属企业直接向广东省林业局申报。</w:t>
      </w:r>
    </w:p>
    <w:p>
      <w:pPr>
        <w:spacing w:line="620" w:lineRule="exact"/>
        <w:ind w:firstLineChars="200" w:firstLine="640"/>
        <w:rPr>
          <w:rFonts w:ascii="仿宋" w:eastAsia="仿宋"/>
          <w:color w:val="000000"/>
          <w:sz w:val="32"/>
          <w:szCs w:val="28"/>
        </w:rPr>
      </w:pPr>
    </w:p>
    <w:p>
      <w:pPr>
        <w:spacing w:line="620" w:lineRule="exact"/>
        <w:jc w:val="center"/>
        <w:rPr>
          <w:rFonts w:ascii="黑体" w:eastAsia="黑体"/>
          <w:color w:val="000000"/>
          <w:sz w:val="32"/>
          <w:szCs w:val="28"/>
        </w:rPr>
      </w:pPr>
      <w:r>
        <w:rPr>
          <w:rFonts w:ascii="黑体" w:eastAsia="黑体" w:hint="eastAsia"/>
          <w:color w:val="000000"/>
          <w:sz w:val="32"/>
          <w:szCs w:val="28"/>
        </w:rPr>
        <w:t>第三章  认定程序</w:t>
      </w:r>
    </w:p>
    <w:p>
      <w:pPr>
        <w:spacing w:line="620" w:lineRule="exact"/>
        <w:jc w:val="center"/>
        <w:rPr>
          <w:rFonts w:ascii="黑体" w:eastAsia="黑体"/>
          <w:color w:val="000000"/>
          <w:sz w:val="32"/>
          <w:szCs w:val="28"/>
        </w:rPr>
      </w:pP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 xml:space="preserve">第十一条 </w:t>
      </w:r>
      <w:r>
        <w:rPr>
          <w:rFonts w:ascii="仿宋" w:eastAsia="仿宋" w:hint="eastAsia"/>
          <w:color w:val="000000"/>
          <w:sz w:val="32"/>
          <w:szCs w:val="28"/>
        </w:rPr>
        <w:t>广东省林业局成立“广东省林业龙头企业认定小组”负责考核认定工作。</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第十二条</w:t>
      </w:r>
      <w:r>
        <w:rPr>
          <w:rFonts w:ascii="仿宋" w:eastAsia="仿宋" w:hint="eastAsia"/>
          <w:color w:val="000000"/>
          <w:sz w:val="32"/>
          <w:szCs w:val="28"/>
        </w:rPr>
        <w:t xml:space="preserve"> “广东省林业龙头企业认定小组”依照《广东省林业龙头企业申报认定与监测指标》以百分制进行初审评分，得分60分以上的企业，列为广东省林业龙头企业考核对象。</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第十三条</w:t>
      </w:r>
      <w:r>
        <w:rPr>
          <w:rFonts w:ascii="仿宋" w:eastAsia="仿宋" w:hint="eastAsia"/>
          <w:color w:val="000000"/>
          <w:sz w:val="32"/>
          <w:szCs w:val="28"/>
        </w:rPr>
        <w:t xml:space="preserve"> “广东省林业龙头企业认定小组”组织考核人员，会同市、县（市、区）林业主管部门对列为考核对象的企业进行实地综合考评和专家评审，评审结果经“广东林业网”向社会公示。公示无异议后，由广东省林业局认定为“广东省林业龙头企业”，并发文公布。</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第十四条</w:t>
      </w:r>
      <w:r>
        <w:rPr>
          <w:rFonts w:ascii="仿宋" w:eastAsia="仿宋" w:hint="eastAsia"/>
          <w:color w:val="000000"/>
          <w:sz w:val="32"/>
          <w:szCs w:val="28"/>
        </w:rPr>
        <w:t xml:space="preserve"> 认定为“广东省林业龙头企业”的单位，由广东省林业局授予“广东省林业龙头企业”证书和牌匾。</w:t>
      </w:r>
    </w:p>
    <w:p>
      <w:pPr>
        <w:spacing w:line="620" w:lineRule="exact"/>
        <w:ind w:firstLineChars="200" w:firstLine="640"/>
        <w:rPr>
          <w:rFonts w:ascii="仿宋" w:eastAsia="仿宋"/>
          <w:color w:val="000000"/>
          <w:sz w:val="32"/>
          <w:szCs w:val="28"/>
        </w:rPr>
      </w:pPr>
    </w:p>
    <w:p>
      <w:pPr>
        <w:spacing w:line="620" w:lineRule="exact"/>
        <w:jc w:val="center"/>
        <w:rPr>
          <w:rFonts w:ascii="黑体" w:eastAsia="黑体"/>
          <w:color w:val="000000"/>
          <w:sz w:val="32"/>
          <w:szCs w:val="28"/>
        </w:rPr>
      </w:pPr>
      <w:r>
        <w:rPr>
          <w:rFonts w:ascii="黑体" w:eastAsia="黑体" w:hint="eastAsia"/>
          <w:color w:val="000000"/>
          <w:sz w:val="32"/>
          <w:szCs w:val="28"/>
        </w:rPr>
        <w:t>第四章  监测与复核</w:t>
      </w:r>
    </w:p>
    <w:p>
      <w:pPr>
        <w:spacing w:line="620" w:lineRule="exact"/>
        <w:jc w:val="center"/>
        <w:rPr>
          <w:rFonts w:ascii="黑体" w:eastAsia="黑体"/>
          <w:color w:val="000000"/>
          <w:sz w:val="32"/>
          <w:szCs w:val="28"/>
        </w:rPr>
      </w:pP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第十五条</w:t>
      </w:r>
      <w:r>
        <w:rPr>
          <w:rFonts w:ascii="仿宋" w:eastAsia="仿宋" w:hint="eastAsia"/>
          <w:color w:val="000000"/>
          <w:sz w:val="32"/>
          <w:szCs w:val="28"/>
        </w:rPr>
        <w:t xml:space="preserve"> 广东省林业局对广东省林业龙头企业实行一年一监测制度。每年4月底前，广东省林业龙头企业应向广东省林业局报送反映上一年度企业经营发展情况的《广东省林业龙头企业经营监测表》（附件3），并配合广东省林业局组织的年度监测和实地考察。</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第十六条</w:t>
      </w:r>
      <w:r>
        <w:rPr>
          <w:rFonts w:ascii="仿宋" w:eastAsia="仿宋" w:hint="eastAsia"/>
          <w:color w:val="000000"/>
          <w:sz w:val="32"/>
          <w:szCs w:val="28"/>
        </w:rPr>
        <w:t xml:space="preserve"> 广东省林业局对广东省林业龙头企业实行三年一次的复核制度。广东省林业龙头企业证书的有效期为三年。企业应在</w:t>
      </w:r>
      <w:r>
        <w:rPr>
          <w:rFonts w:ascii="仿宋" w:eastAsia="仿宋"/>
          <w:color w:val="000000"/>
          <w:sz w:val="32"/>
          <w:szCs w:val="28"/>
        </w:rPr>
        <w:t>有效期届满3个</w:t>
      </w:r>
      <w:r>
        <w:rPr>
          <w:rFonts w:ascii="仿宋" w:eastAsia="仿宋" w:cs="Arial"/>
          <w:color w:val="000000"/>
          <w:sz w:val="32"/>
          <w:szCs w:val="28"/>
          <w:shd w:val="clear" w:color="auto" w:fill="FFFFFF"/>
        </w:rPr>
        <w:fldChar w:fldCharType="begin"/>
      </w:r>
      <w:r>
        <w:instrText>HYPERLINK "http://www.so.com/s?q=%E6%9C%88%E5%89%8D&amp;ie=utf-8&amp;src=internal_wenda_recommend_textn"</w:instrText>
      </w:r>
      <w:r>
        <w:rPr>
          <w:rFonts w:ascii="仿宋" w:eastAsia="仿宋" w:cs="Arial"/>
          <w:color w:val="000000"/>
          <w:sz w:val="32"/>
          <w:szCs w:val="28"/>
          <w:shd w:val="clear" w:color="auto" w:fill="FFFFFF"/>
        </w:rPr>
        <w:fldChar w:fldCharType="separate"/>
      </w:r>
      <w:r>
        <w:rPr>
          <w:rFonts w:ascii="仿宋" w:eastAsia="仿宋" w:cs="Arial"/>
          <w:color w:val="000000"/>
          <w:sz w:val="32"/>
          <w:szCs w:val="28"/>
          <w:shd w:val="clear" w:color="auto" w:fill="FFFFFF"/>
        </w:rPr>
        <w:t>月前</w:t>
      </w:r>
      <w:r>
        <w:rPr>
          <w:rFonts w:ascii="仿宋" w:eastAsia="仿宋" w:cs="Arial"/>
          <w:color w:val="000000"/>
          <w:sz w:val="32"/>
          <w:szCs w:val="28"/>
          <w:shd w:val="clear" w:color="auto" w:fill="FFFFFF"/>
        </w:rPr>
        <w:fldChar w:fldCharType="end"/>
      </w:r>
      <w:r>
        <w:rPr>
          <w:rFonts w:ascii="仿宋" w:eastAsia="仿宋" w:hint="eastAsia"/>
          <w:color w:val="000000"/>
          <w:sz w:val="32"/>
          <w:szCs w:val="28"/>
        </w:rPr>
        <w:t>依照本标准第九、第十条提出复核申请，提交复核材料，填报《广东省林业龙头企业复核表》（附件4）。</w:t>
      </w:r>
      <w:r>
        <w:rPr>
          <w:rFonts w:ascii="仿宋_GB2312" w:eastAsia="仿宋_GB2312" w:cs="宋体" w:hint="eastAsia"/>
          <w:color w:val="000000"/>
          <w:kern w:val="0"/>
          <w:sz w:val="32"/>
          <w:szCs w:val="32"/>
        </w:rPr>
        <w:t>经省林业局复核，</w:t>
      </w:r>
      <w:r>
        <w:rPr>
          <w:rFonts w:ascii="仿宋" w:eastAsia="仿宋" w:hint="eastAsia"/>
          <w:color w:val="000000"/>
          <w:sz w:val="32"/>
          <w:szCs w:val="28"/>
        </w:rPr>
        <w:t>达到认定条件的企业保留“广东省林业龙头企业”资格，</w:t>
      </w:r>
      <w:r>
        <w:rPr>
          <w:rFonts w:ascii="仿宋_GB2312" w:eastAsia="仿宋_GB2312" w:cs="宋体" w:hint="eastAsia"/>
          <w:color w:val="000000"/>
          <w:kern w:val="0"/>
          <w:sz w:val="32"/>
          <w:szCs w:val="32"/>
        </w:rPr>
        <w:t>对达不到省级林业龙头企业条件的或放弃复核的单位，取消其资格，三年内不得重新申报认定“广东省林业龙头企业”。</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第十七条</w:t>
      </w:r>
      <w:r>
        <w:rPr>
          <w:rFonts w:ascii="仿宋" w:eastAsia="仿宋" w:hint="eastAsia"/>
          <w:color w:val="000000"/>
          <w:sz w:val="32"/>
          <w:szCs w:val="28"/>
        </w:rPr>
        <w:t xml:space="preserve"> 广东省林业龙头企业有下列行为之一，取消其广东省林业龙头企业资格，不再享受有关扶持政策，且三年内不得申请认定“广东省林业龙头企业”。</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（一）严重违反国家法律、法规的，造成重大影响，经有关部门查实并受到处罚的；</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（二）政府行政部门以正式文件要求企业提供其经营情况、财务状况等资料，企业无合法理由拒绝提供的；</w:t>
      </w: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（三）提供虚假材料的。</w:t>
      </w:r>
    </w:p>
    <w:p>
      <w:pPr>
        <w:spacing w:line="620" w:lineRule="exact"/>
        <w:ind w:firstLineChars="200" w:firstLine="640"/>
        <w:rPr>
          <w:rFonts w:ascii="仿宋" w:eastAsia="仿宋"/>
          <w:color w:val="000000"/>
          <w:sz w:val="32"/>
          <w:szCs w:val="28"/>
        </w:rPr>
      </w:pPr>
    </w:p>
    <w:p>
      <w:pPr>
        <w:spacing w:line="620" w:lineRule="exact"/>
        <w:jc w:val="center"/>
        <w:rPr>
          <w:rFonts w:ascii="黑体" w:eastAsia="黑体"/>
          <w:color w:val="000000"/>
          <w:sz w:val="32"/>
          <w:szCs w:val="28"/>
        </w:rPr>
      </w:pPr>
      <w:r>
        <w:rPr>
          <w:rFonts w:ascii="黑体" w:eastAsia="黑体" w:hint="eastAsia"/>
          <w:color w:val="000000"/>
          <w:sz w:val="32"/>
          <w:szCs w:val="28"/>
        </w:rPr>
        <w:t>第五章  附则</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第十八条</w:t>
      </w:r>
      <w:r>
        <w:rPr>
          <w:rFonts w:ascii="仿宋" w:eastAsia="仿宋" w:hint="eastAsia"/>
          <w:color w:val="000000"/>
          <w:sz w:val="32"/>
          <w:szCs w:val="28"/>
        </w:rPr>
        <w:t xml:space="preserve"> 广东省林业龙头企业变更企业名称，应提供广东省内市场监管管理部门变更企业名称的批准文件、企业新旧营业执照的复印件和变更广东省林业龙头企业名称的申请书，报请广东省林业局申请变更“广东省林业龙头企业”文件或证书。变更批准文件抄送地级市和县（市、区）林业主管部门等有关单位。</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第十九条</w:t>
      </w:r>
      <w:r>
        <w:rPr>
          <w:rFonts w:ascii="仿宋" w:eastAsia="仿宋" w:hint="eastAsia"/>
          <w:color w:val="000000"/>
          <w:sz w:val="32"/>
          <w:szCs w:val="28"/>
        </w:rPr>
        <w:t xml:space="preserve"> 本办法自2018年12月</w:t>
      </w:r>
      <w:r>
        <w:rPr>
          <w:rFonts w:ascii="仿宋" w:eastAsia="仿宋" w:hint="eastAsia"/>
          <w:color w:val="000000"/>
          <w:sz w:val="32"/>
          <w:szCs w:val="28"/>
          <w:lang w:val="en-US" w:eastAsia="zh-CN"/>
        </w:rPr>
        <w:t>16</w:t>
      </w:r>
      <w:r>
        <w:rPr>
          <w:rFonts w:ascii="仿宋" w:eastAsia="仿宋" w:hint="eastAsia"/>
          <w:color w:val="000000"/>
          <w:sz w:val="32"/>
          <w:szCs w:val="28"/>
        </w:rPr>
        <w:t>日起施行，有效期5年。原《广东省林业龙头企业评选标准》同时废止。</w:t>
      </w:r>
    </w:p>
    <w:p>
      <w:pPr>
        <w:spacing w:line="620" w:lineRule="exact"/>
        <w:ind w:firstLineChars="200" w:firstLine="640"/>
        <w:rPr>
          <w:rFonts w:ascii="仿宋" w:eastAsia="仿宋"/>
          <w:color w:val="000000"/>
          <w:sz w:val="32"/>
          <w:szCs w:val="28"/>
        </w:rPr>
      </w:pPr>
      <w:r>
        <w:rPr>
          <w:rFonts w:ascii="黑体" w:eastAsia="黑体" w:cs="黑体" w:hint="eastAsia"/>
          <w:color w:val="000000"/>
          <w:sz w:val="32"/>
          <w:szCs w:val="28"/>
        </w:rPr>
        <w:t>第二十条</w:t>
      </w:r>
      <w:r>
        <w:rPr>
          <w:rFonts w:ascii="仿宋" w:eastAsia="仿宋" w:hint="eastAsia"/>
          <w:color w:val="000000"/>
          <w:sz w:val="32"/>
          <w:szCs w:val="28"/>
        </w:rPr>
        <w:t xml:space="preserve"> 本办法由广东省林业局负责解释。</w:t>
      </w:r>
    </w:p>
    <w:p>
      <w:pPr>
        <w:spacing w:line="620" w:lineRule="exact"/>
        <w:rPr>
          <w:rFonts w:ascii="仿宋" w:eastAsia="仿宋"/>
          <w:color w:val="000000"/>
          <w:sz w:val="32"/>
          <w:szCs w:val="28"/>
        </w:rPr>
      </w:pPr>
    </w:p>
    <w:p>
      <w:pPr>
        <w:spacing w:line="620" w:lineRule="exact"/>
        <w:ind w:firstLineChars="200" w:firstLine="640"/>
        <w:rPr>
          <w:rFonts w:ascii="仿宋" w:eastAsia="仿宋"/>
          <w:color w:val="000000"/>
          <w:sz w:val="32"/>
          <w:szCs w:val="28"/>
        </w:rPr>
      </w:pPr>
      <w:r>
        <w:rPr>
          <w:rFonts w:ascii="仿宋" w:eastAsia="仿宋" w:hint="eastAsia"/>
          <w:color w:val="000000"/>
          <w:sz w:val="32"/>
          <w:szCs w:val="28"/>
        </w:rPr>
        <w:t>附件：1.广东省林业龙头企业认定与监测指标</w:t>
      </w:r>
    </w:p>
    <w:p>
      <w:pPr>
        <w:spacing w:line="620" w:lineRule="exact"/>
        <w:ind w:firstLineChars="500" w:firstLine="1600"/>
        <w:rPr>
          <w:rFonts w:ascii="仿宋" w:eastAsia="仿宋"/>
          <w:color w:val="000000"/>
          <w:sz w:val="32"/>
          <w:szCs w:val="28"/>
        </w:rPr>
      </w:pPr>
      <w:r>
        <w:rPr>
          <w:rFonts w:ascii="仿宋" w:eastAsia="仿宋" w:hint="eastAsia"/>
          <w:color w:val="000000"/>
          <w:sz w:val="32"/>
          <w:szCs w:val="28"/>
        </w:rPr>
        <w:t>2.广东省林业龙头企业申报表</w:t>
      </w:r>
    </w:p>
    <w:p>
      <w:pPr>
        <w:spacing w:line="620" w:lineRule="exact"/>
        <w:ind w:firstLineChars="500" w:firstLine="1600"/>
        <w:rPr>
          <w:rFonts w:ascii="仿宋" w:eastAsia="仿宋"/>
          <w:color w:val="000000"/>
          <w:sz w:val="32"/>
          <w:szCs w:val="28"/>
        </w:rPr>
      </w:pPr>
      <w:r>
        <w:rPr>
          <w:rFonts w:ascii="仿宋" w:eastAsia="仿宋" w:hint="eastAsia"/>
          <w:color w:val="000000"/>
          <w:sz w:val="32"/>
          <w:szCs w:val="28"/>
        </w:rPr>
        <w:t>3.广东省林业龙头企业经营监测表</w:t>
      </w:r>
    </w:p>
    <w:p>
      <w:pPr>
        <w:spacing w:line="620" w:lineRule="exact"/>
        <w:ind w:firstLineChars="500" w:firstLine="1600"/>
        <w:rPr>
          <w:rFonts w:ascii="仿宋" w:eastAsia="仿宋"/>
          <w:color w:val="000000"/>
          <w:sz w:val="32"/>
          <w:szCs w:val="28"/>
        </w:rPr>
      </w:pPr>
      <w:r>
        <w:rPr>
          <w:rFonts w:ascii="仿宋" w:eastAsia="仿宋" w:hint="eastAsia"/>
          <w:color w:val="000000"/>
          <w:sz w:val="32"/>
          <w:szCs w:val="28"/>
        </w:rPr>
        <w:t>4.广东省林业龙头企业复核表</w:t>
      </w:r>
    </w:p>
    <w:p>
      <w:pPr>
        <w:spacing w:line="640" w:lineRule="exact"/>
        <w:rPr>
          <w:rFonts w:ascii="仿宋" w:eastAsia="仿宋"/>
          <w:color w:val="000000"/>
          <w:sz w:val="32"/>
          <w:szCs w:val="28"/>
        </w:rPr>
      </w:pPr>
    </w:p>
    <w:p>
      <w:pPr>
        <w:spacing w:line="640" w:lineRule="exact"/>
        <w:rPr>
          <w:rFonts w:ascii="仿宋" w:eastAsia="仿宋"/>
          <w:color w:val="000000"/>
          <w:sz w:val="32"/>
          <w:szCs w:val="28"/>
        </w:rPr>
        <w:sectPr>
          <w:footerReference w:type="default" r:id="rId2"/>
          <w:pgSz w:w="11906" w:h="16838"/>
          <w:pgMar w:top="1440" w:right="1800" w:bottom="1440" w:left="1800" w:header="851" w:footer="992" w:gutter="0"/>
          <w:pgNumType w:start="14"/>
          <w:docGrid w:type="lines" w:linePitch="312" w:charSpace="0"/>
        </w:sectPr>
      </w:pPr>
    </w:p>
    <w:tbl>
      <w:tblPr>
        <w:jc w:val="left"/>
        <w:tblInd w:w="93" w:type="dxa"/>
        <w:tblW w:w="1564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38"/>
        <w:gridCol w:w="978"/>
        <w:gridCol w:w="444"/>
        <w:gridCol w:w="240"/>
        <w:gridCol w:w="2209"/>
        <w:gridCol w:w="208"/>
        <w:gridCol w:w="1932"/>
        <w:gridCol w:w="2552"/>
        <w:gridCol w:w="2167"/>
        <w:gridCol w:w="221"/>
        <w:gridCol w:w="2562"/>
        <w:gridCol w:w="1391"/>
      </w:tblGrid>
      <w:tr>
        <w:trPr>
          <w:trHeight w:val="375"/>
        </w:trPr>
        <w:tc>
          <w:tcPr>
            <w:tcW w:w="2160" w:type="dxa"/>
            <w:gridSpan w:val="3"/>
            <w:tcBorders>
              <w:top w:val="nil"/>
              <w:left w:val="nil"/>
              <w:bottom w:val="nil"/>
              <w:right w:val="nil"/>
            </w:tcBorders>
            <w:vAlign w:val="center"/>
          </w:tcPr>
          <w:p>
            <w:pPr>
              <w:widowControl/>
              <w:jc w:val="left"/>
              <w:rPr>
                <w:rFonts w:ascii="黑体" w:eastAsia="黑体" w:cs="宋体"/>
                <w:color w:val="000000"/>
                <w:kern w:val="0"/>
                <w:szCs w:val="21"/>
              </w:rPr>
            </w:pPr>
            <w:r>
              <w:rPr>
                <w:rFonts w:ascii="黑体" w:eastAsia="黑体" w:cs="宋体" w:hint="eastAsia"/>
                <w:color w:val="000000"/>
                <w:kern w:val="0"/>
                <w:szCs w:val="21"/>
              </w:rPr>
              <w:t>附件1</w:t>
            </w:r>
            <w:r>
              <w:rPr>
                <w:rFonts w:ascii="黑体" w:eastAsia="黑体" w:cs="宋体"/>
                <w:color w:val="000000"/>
                <w:kern w:val="0"/>
                <w:szCs w:val="21"/>
              </w:rPr>
              <w:t>：</w:t>
            </w:r>
          </w:p>
        </w:tc>
        <w:tc>
          <w:tcPr>
            <w:tcW w:w="240" w:type="dxa"/>
            <w:tcBorders>
              <w:top w:val="nil"/>
              <w:left w:val="nil"/>
              <w:bottom w:val="nil"/>
              <w:right w:val="nil"/>
            </w:tcBorders>
            <w:vAlign w:val="center"/>
          </w:tcPr>
          <w:p>
            <w:pPr>
              <w:widowControl/>
              <w:jc w:val="left"/>
              <w:rPr>
                <w:rFonts w:ascii="宋体" w:cs="宋体"/>
                <w:color w:val="000000"/>
                <w:kern w:val="0"/>
                <w:sz w:val="22"/>
              </w:rPr>
            </w:pPr>
          </w:p>
        </w:tc>
        <w:tc>
          <w:tcPr>
            <w:tcW w:w="2209" w:type="dxa"/>
            <w:tcBorders>
              <w:top w:val="nil"/>
              <w:left w:val="nil"/>
              <w:bottom w:val="nil"/>
              <w:right w:val="nil"/>
            </w:tcBorders>
            <w:vAlign w:val="center"/>
          </w:tcPr>
          <w:p>
            <w:pPr>
              <w:widowControl/>
              <w:jc w:val="left"/>
              <w:rPr>
                <w:rFonts w:ascii="宋体" w:cs="宋体"/>
                <w:color w:val="000000"/>
                <w:kern w:val="0"/>
                <w:sz w:val="22"/>
              </w:rPr>
            </w:pPr>
          </w:p>
        </w:tc>
        <w:tc>
          <w:tcPr>
            <w:tcW w:w="2140" w:type="dxa"/>
            <w:gridSpan w:val="2"/>
            <w:tcBorders>
              <w:top w:val="nil"/>
              <w:left w:val="nil"/>
              <w:bottom w:val="nil"/>
              <w:right w:val="nil"/>
            </w:tcBorders>
            <w:vAlign w:val="center"/>
          </w:tcPr>
          <w:p>
            <w:pPr>
              <w:widowControl/>
              <w:jc w:val="left"/>
              <w:rPr>
                <w:rFonts w:ascii="宋体" w:cs="宋体"/>
                <w:color w:val="000000"/>
                <w:kern w:val="0"/>
                <w:sz w:val="22"/>
              </w:rPr>
            </w:pPr>
          </w:p>
        </w:tc>
        <w:tc>
          <w:tcPr>
            <w:tcW w:w="2552" w:type="dxa"/>
            <w:tcBorders>
              <w:top w:val="nil"/>
              <w:left w:val="nil"/>
              <w:bottom w:val="nil"/>
              <w:right w:val="nil"/>
            </w:tcBorders>
            <w:vAlign w:val="center"/>
          </w:tcPr>
          <w:p>
            <w:pPr>
              <w:widowControl/>
              <w:jc w:val="left"/>
              <w:rPr>
                <w:rFonts w:ascii="宋体" w:cs="宋体"/>
                <w:color w:val="000000"/>
                <w:kern w:val="0"/>
                <w:sz w:val="22"/>
              </w:rPr>
            </w:pPr>
          </w:p>
        </w:tc>
        <w:tc>
          <w:tcPr>
            <w:tcW w:w="2388" w:type="dxa"/>
            <w:gridSpan w:val="2"/>
            <w:tcBorders>
              <w:top w:val="nil"/>
              <w:left w:val="nil"/>
              <w:bottom w:val="nil"/>
              <w:right w:val="nil"/>
            </w:tcBorders>
            <w:vAlign w:val="center"/>
          </w:tcPr>
          <w:p>
            <w:pPr>
              <w:widowControl/>
              <w:jc w:val="left"/>
              <w:rPr>
                <w:rFonts w:ascii="宋体" w:cs="宋体"/>
                <w:color w:val="000000"/>
                <w:kern w:val="0"/>
                <w:sz w:val="22"/>
              </w:rPr>
            </w:pPr>
          </w:p>
        </w:tc>
        <w:tc>
          <w:tcPr>
            <w:tcW w:w="2562" w:type="dxa"/>
            <w:tcBorders>
              <w:top w:val="nil"/>
              <w:left w:val="nil"/>
              <w:bottom w:val="nil"/>
              <w:right w:val="nil"/>
            </w:tcBorders>
            <w:vAlign w:val="center"/>
          </w:tcPr>
          <w:p>
            <w:pPr>
              <w:widowControl/>
              <w:jc w:val="left"/>
              <w:rPr>
                <w:rFonts w:ascii="宋体" w:cs="宋体"/>
                <w:color w:val="000000"/>
                <w:kern w:val="0"/>
                <w:sz w:val="22"/>
              </w:rPr>
            </w:pPr>
          </w:p>
        </w:tc>
        <w:tc>
          <w:tcPr>
            <w:tcW w:w="1391" w:type="dxa"/>
            <w:tcBorders>
              <w:top w:val="nil"/>
              <w:left w:val="nil"/>
              <w:bottom w:val="nil"/>
              <w:right w:val="nil"/>
            </w:tcBorders>
            <w:vAlign w:val="center"/>
          </w:tcPr>
          <w:p>
            <w:pPr>
              <w:widowControl/>
              <w:jc w:val="left"/>
              <w:rPr>
                <w:rFonts w:ascii="宋体" w:cs="宋体"/>
                <w:color w:val="000000"/>
                <w:kern w:val="0"/>
                <w:sz w:val="22"/>
              </w:rPr>
            </w:pPr>
          </w:p>
        </w:tc>
      </w:tr>
      <w:tr>
        <w:trPr>
          <w:trHeight w:val="690"/>
        </w:trPr>
        <w:tc>
          <w:tcPr>
            <w:tcW w:w="15642" w:type="dxa"/>
            <w:gridSpan w:val="12"/>
            <w:tcBorders>
              <w:top w:val="nil"/>
              <w:left w:val="nil"/>
              <w:bottom w:val="nil"/>
              <w:right w:val="nil"/>
            </w:tcBorders>
            <w:vAlign w:val="center"/>
          </w:tcPr>
          <w:p>
            <w:pPr>
              <w:widowControl/>
              <w:jc w:val="center"/>
              <w:rPr>
                <w:rFonts w:ascii="黑体" w:eastAsia="黑体" w:cs="宋体"/>
                <w:color w:val="000000"/>
                <w:kern w:val="0"/>
                <w:sz w:val="40"/>
                <w:szCs w:val="40"/>
              </w:rPr>
            </w:pPr>
            <w:r>
              <w:rPr>
                <w:rFonts w:ascii="黑体" w:eastAsia="黑体" w:cs="宋体" w:hint="eastAsia"/>
                <w:color w:val="000000"/>
                <w:kern w:val="0"/>
                <w:sz w:val="40"/>
                <w:szCs w:val="40"/>
              </w:rPr>
              <w:t>广东省林业龙头企业申报认定与监测指标</w:t>
            </w:r>
          </w:p>
        </w:tc>
      </w:tr>
      <w:tr>
        <w:trPr>
          <w:trHeight w:val="270"/>
        </w:trPr>
        <w:tc>
          <w:tcPr>
            <w:tcW w:w="2400" w:type="dxa"/>
            <w:gridSpan w:val="4"/>
            <w:vMerge w:val="restart"/>
            <w:tcBorders>
              <w:top w:val="single" w:sz="4" w:space="0" w:color="auto"/>
              <w:left w:val="single" w:sz="4" w:space="0" w:color="auto"/>
              <w:bottom w:val="single" w:sz="4" w:space="0" w:color="000000"/>
              <w:right w:val="single" w:sz="4" w:space="0" w:color="000000"/>
            </w:tcBorders>
            <w:vAlign w:val="center"/>
          </w:tcPr>
          <w:p>
            <w:pPr>
              <w:widowControl/>
              <w:jc w:val="center"/>
              <w:rPr>
                <w:rFonts w:ascii="仿宋_GB2312" w:eastAsia="仿宋_GB2312" w:cs="宋体"/>
                <w:b/>
                <w:bCs/>
                <w:color w:val="000000"/>
                <w:kern w:val="0"/>
                <w:sz w:val="15"/>
                <w:szCs w:val="15"/>
              </w:rPr>
            </w:pPr>
            <w:r>
              <w:rPr>
                <w:rFonts w:ascii="仿宋_GB2312" w:eastAsia="仿宋_GB2312" w:cs="宋体" w:hint="eastAsia"/>
                <w:b/>
                <w:bCs/>
                <w:color w:val="000000"/>
                <w:kern w:val="0"/>
                <w:szCs w:val="21"/>
              </w:rPr>
              <w:t>企业类型</w:t>
            </w:r>
          </w:p>
        </w:tc>
        <w:tc>
          <w:tcPr>
            <w:tcW w:w="2209" w:type="dxa"/>
            <w:tcBorders>
              <w:top w:val="single" w:sz="4" w:space="0" w:color="auto"/>
              <w:left w:val="nil"/>
              <w:bottom w:val="single" w:sz="4" w:space="0" w:color="auto"/>
              <w:right w:val="single" w:sz="4" w:space="0" w:color="auto"/>
            </w:tcBorders>
            <w:vAlign w:val="center"/>
          </w:tcPr>
          <w:p>
            <w:pPr>
              <w:widowControl/>
              <w:jc w:val="center"/>
              <w:rPr>
                <w:rFonts w:ascii="仿宋_GB2312" w:eastAsia="仿宋_GB2312" w:cs="宋体"/>
                <w:b/>
                <w:bCs/>
                <w:color w:val="000000"/>
                <w:kern w:val="0"/>
                <w:szCs w:val="21"/>
              </w:rPr>
            </w:pPr>
            <w:r>
              <w:rPr>
                <w:rFonts w:ascii="仿宋_GB2312" w:eastAsia="仿宋_GB2312" w:cs="宋体" w:hint="eastAsia"/>
                <w:b/>
                <w:bCs/>
                <w:color w:val="000000"/>
                <w:kern w:val="0"/>
                <w:szCs w:val="21"/>
              </w:rPr>
              <w:t>林业种养型</w:t>
            </w:r>
          </w:p>
        </w:tc>
        <w:tc>
          <w:tcPr>
            <w:tcW w:w="2140" w:type="dxa"/>
            <w:gridSpan w:val="2"/>
            <w:tcBorders>
              <w:top w:val="single" w:sz="4" w:space="0" w:color="auto"/>
              <w:left w:val="nil"/>
              <w:bottom w:val="single" w:sz="4" w:space="0" w:color="auto"/>
              <w:right w:val="single" w:sz="4" w:space="0" w:color="auto"/>
            </w:tcBorders>
            <w:vAlign w:val="center"/>
          </w:tcPr>
          <w:p>
            <w:pPr>
              <w:widowControl/>
              <w:jc w:val="center"/>
              <w:rPr>
                <w:rFonts w:ascii="仿宋_GB2312" w:eastAsia="仿宋_GB2312" w:cs="宋体"/>
                <w:b/>
                <w:bCs/>
                <w:color w:val="000000"/>
                <w:kern w:val="0"/>
                <w:szCs w:val="21"/>
              </w:rPr>
            </w:pPr>
            <w:r>
              <w:rPr>
                <w:rFonts w:ascii="仿宋_GB2312" w:eastAsia="仿宋_GB2312" w:cs="宋体" w:hint="eastAsia"/>
                <w:b/>
                <w:bCs/>
                <w:color w:val="000000"/>
                <w:kern w:val="0"/>
                <w:szCs w:val="21"/>
              </w:rPr>
              <w:t>林产品加工型</w:t>
            </w:r>
          </w:p>
        </w:tc>
        <w:tc>
          <w:tcPr>
            <w:tcW w:w="2552" w:type="dxa"/>
            <w:tcBorders>
              <w:top w:val="single" w:sz="4" w:space="0" w:color="auto"/>
              <w:left w:val="nil"/>
              <w:bottom w:val="single" w:sz="4" w:space="0" w:color="auto"/>
              <w:right w:val="single" w:sz="4" w:space="0" w:color="auto"/>
            </w:tcBorders>
            <w:vAlign w:val="center"/>
          </w:tcPr>
          <w:p>
            <w:pPr>
              <w:widowControl/>
              <w:jc w:val="center"/>
              <w:rPr>
                <w:rFonts w:ascii="仿宋_GB2312" w:eastAsia="仿宋_GB2312" w:cs="宋体"/>
                <w:b/>
                <w:bCs/>
                <w:color w:val="000000"/>
                <w:kern w:val="0"/>
                <w:szCs w:val="21"/>
              </w:rPr>
            </w:pPr>
            <w:r>
              <w:rPr>
                <w:rFonts w:ascii="仿宋_GB2312" w:eastAsia="仿宋_GB2312" w:cs="宋体" w:hint="eastAsia"/>
                <w:b/>
                <w:bCs/>
                <w:color w:val="000000"/>
                <w:kern w:val="0"/>
                <w:szCs w:val="21"/>
              </w:rPr>
              <w:t>林产品流通型</w:t>
            </w:r>
          </w:p>
        </w:tc>
        <w:tc>
          <w:tcPr>
            <w:tcW w:w="2167" w:type="dxa"/>
            <w:tcBorders>
              <w:top w:val="single" w:sz="4" w:space="0" w:color="auto"/>
              <w:left w:val="nil"/>
              <w:bottom w:val="single" w:sz="4" w:space="0" w:color="auto"/>
              <w:right w:val="single" w:sz="4" w:space="0" w:color="auto"/>
            </w:tcBorders>
            <w:vAlign w:val="center"/>
          </w:tcPr>
          <w:p>
            <w:pPr>
              <w:widowControl/>
              <w:jc w:val="center"/>
              <w:rPr>
                <w:rFonts w:ascii="仿宋_GB2312" w:eastAsia="仿宋_GB2312" w:cs="宋体"/>
                <w:b/>
                <w:bCs/>
                <w:color w:val="000000"/>
                <w:kern w:val="0"/>
                <w:szCs w:val="21"/>
              </w:rPr>
            </w:pPr>
            <w:r>
              <w:rPr>
                <w:rFonts w:ascii="仿宋_GB2312" w:eastAsia="仿宋_GB2312" w:cs="宋体" w:hint="eastAsia"/>
                <w:b/>
                <w:bCs/>
                <w:color w:val="000000"/>
                <w:kern w:val="0"/>
                <w:szCs w:val="21"/>
              </w:rPr>
              <w:t>森林</w:t>
            </w:r>
            <w:r>
              <w:rPr>
                <w:rFonts w:ascii="仿宋_GB2312" w:eastAsia="仿宋_GB2312" w:cs="宋体" w:hint="eastAsia"/>
                <w:b/>
                <w:bCs/>
                <w:color w:val="000000"/>
                <w:kern w:val="0"/>
                <w:szCs w:val="21"/>
                <w:lang w:eastAsia="zh-CN"/>
              </w:rPr>
              <w:t>生态</w:t>
            </w:r>
            <w:r>
              <w:rPr>
                <w:rFonts w:ascii="仿宋_GB2312" w:eastAsia="仿宋_GB2312" w:cs="宋体" w:hint="eastAsia"/>
                <w:b/>
                <w:bCs/>
                <w:color w:val="000000"/>
                <w:kern w:val="0"/>
                <w:szCs w:val="21"/>
              </w:rPr>
              <w:t>旅游型</w:t>
            </w:r>
          </w:p>
        </w:tc>
        <w:tc>
          <w:tcPr>
            <w:tcW w:w="2783" w:type="dxa"/>
            <w:gridSpan w:val="2"/>
            <w:tcBorders>
              <w:top w:val="single" w:sz="4" w:space="0" w:color="auto"/>
              <w:left w:val="nil"/>
              <w:bottom w:val="single" w:sz="4" w:space="0" w:color="auto"/>
              <w:right w:val="single" w:sz="4" w:space="0" w:color="auto"/>
            </w:tcBorders>
            <w:vAlign w:val="center"/>
          </w:tcPr>
          <w:p>
            <w:pPr>
              <w:widowControl/>
              <w:jc w:val="center"/>
              <w:rPr>
                <w:rFonts w:ascii="仿宋_GB2312" w:eastAsia="仿宋_GB2312" w:cs="宋体"/>
                <w:b/>
                <w:bCs/>
                <w:color w:val="000000"/>
                <w:kern w:val="0"/>
                <w:szCs w:val="21"/>
              </w:rPr>
            </w:pPr>
            <w:r>
              <w:rPr>
                <w:rFonts w:ascii="仿宋_GB2312" w:eastAsia="仿宋_GB2312" w:cs="宋体" w:hint="eastAsia"/>
                <w:b/>
                <w:bCs/>
                <w:color w:val="000000"/>
                <w:kern w:val="0"/>
                <w:szCs w:val="21"/>
              </w:rPr>
              <w:t>林业服务型</w:t>
            </w:r>
          </w:p>
        </w:tc>
        <w:tc>
          <w:tcPr>
            <w:tcW w:w="1391" w:type="dxa"/>
            <w:vMerge w:val="restart"/>
            <w:tcBorders>
              <w:top w:val="single" w:sz="4" w:space="0" w:color="auto"/>
              <w:left w:val="nil"/>
              <w:right w:val="single" w:sz="4" w:space="0" w:color="auto"/>
            </w:tcBorders>
            <w:vAlign w:val="center"/>
          </w:tcPr>
          <w:p>
            <w:pPr>
              <w:widowControl/>
              <w:jc w:val="center"/>
              <w:rPr>
                <w:rFonts w:ascii="仿宋_GB2312" w:eastAsia="仿宋_GB2312" w:cs="宋体"/>
                <w:b/>
                <w:bCs/>
                <w:color w:val="000000"/>
                <w:kern w:val="0"/>
                <w:szCs w:val="21"/>
              </w:rPr>
            </w:pPr>
            <w:r>
              <w:rPr>
                <w:rFonts w:ascii="仿宋_GB2312" w:eastAsia="仿宋_GB2312" w:cs="宋体" w:hint="eastAsia"/>
                <w:b/>
                <w:bCs/>
                <w:color w:val="000000"/>
                <w:kern w:val="0"/>
                <w:szCs w:val="21"/>
              </w:rPr>
              <w:t>备注</w:t>
            </w:r>
          </w:p>
          <w:p>
            <w:pPr>
              <w:widowControl/>
              <w:jc w:val="center"/>
              <w:rPr>
                <w:rFonts w:ascii="仿宋_GB2312" w:eastAsia="仿宋_GB2312" w:cs="宋体"/>
                <w:b/>
                <w:bCs/>
                <w:color w:val="000000"/>
                <w:kern w:val="0"/>
                <w:sz w:val="15"/>
                <w:szCs w:val="15"/>
              </w:rPr>
            </w:pPr>
            <w:r>
              <w:rPr>
                <w:rFonts w:ascii="仿宋_GB2312" w:eastAsia="仿宋_GB2312" w:cs="宋体" w:hint="eastAsia"/>
                <w:b/>
                <w:bCs/>
                <w:color w:val="000000"/>
                <w:kern w:val="0"/>
                <w:sz w:val="15"/>
                <w:szCs w:val="15"/>
              </w:rPr>
              <w:t>　</w:t>
            </w:r>
          </w:p>
        </w:tc>
      </w:tr>
      <w:tr>
        <w:trPr>
          <w:trHeight w:val="1140"/>
        </w:trPr>
        <w:tc>
          <w:tcPr>
            <w:tcW w:w="2400" w:type="dxa"/>
            <w:gridSpan w:val="4"/>
            <w:vMerge/>
            <w:tcBorders>
              <w:top w:val="single" w:sz="4" w:space="0" w:color="auto"/>
              <w:left w:val="single" w:sz="4" w:space="0" w:color="auto"/>
              <w:bottom w:val="single" w:sz="4" w:space="0" w:color="000000"/>
              <w:right w:val="single" w:sz="4" w:space="0" w:color="000000"/>
            </w:tcBorders>
            <w:vAlign w:val="center"/>
          </w:tcPr>
          <w:p/>
        </w:tc>
        <w:tc>
          <w:tcPr>
            <w:tcW w:w="2209" w:type="dxa"/>
            <w:tcBorders>
              <w:top w:val="nil"/>
              <w:left w:val="nil"/>
              <w:bottom w:val="single" w:sz="4" w:space="0" w:color="auto"/>
              <w:right w:val="single" w:sz="4" w:space="0" w:color="auto"/>
            </w:tcBorders>
            <w:vAlign w:val="center"/>
          </w:tcPr>
          <w:p>
            <w:pPr>
              <w:widowControl/>
              <w:jc w:val="left"/>
              <w:rPr>
                <w:rFonts w:ascii="仿宋_GB2312" w:eastAsia="仿宋_GB2312" w:cs="宋体"/>
                <w:b/>
                <w:bCs/>
                <w:color w:val="000000"/>
                <w:kern w:val="0"/>
                <w:sz w:val="15"/>
                <w:szCs w:val="15"/>
              </w:rPr>
            </w:pPr>
            <w:r>
              <w:rPr>
                <w:rFonts w:ascii="仿宋_GB2312" w:eastAsia="仿宋_GB2312" w:cs="宋体" w:hint="eastAsia"/>
                <w:b/>
                <w:bCs/>
                <w:color w:val="000000"/>
                <w:kern w:val="0"/>
                <w:sz w:val="15"/>
                <w:szCs w:val="15"/>
              </w:rPr>
              <w:t>森林资源培育、林木种苗与花卉、野生动植物资源培育及林下动植物培育等企业</w:t>
            </w:r>
          </w:p>
        </w:tc>
        <w:tc>
          <w:tcPr>
            <w:tcW w:w="2140" w:type="dxa"/>
            <w:gridSpan w:val="2"/>
            <w:tcBorders>
              <w:top w:val="nil"/>
              <w:left w:val="nil"/>
              <w:bottom w:val="single" w:sz="4" w:space="0" w:color="auto"/>
              <w:right w:val="single" w:sz="4" w:space="0" w:color="auto"/>
            </w:tcBorders>
            <w:vAlign w:val="center"/>
          </w:tcPr>
          <w:p>
            <w:pPr>
              <w:widowControl/>
              <w:jc w:val="left"/>
              <w:rPr>
                <w:rFonts w:ascii="仿宋_GB2312" w:eastAsia="仿宋_GB2312" w:cs="宋体"/>
                <w:b/>
                <w:bCs/>
                <w:color w:val="000000"/>
                <w:kern w:val="0"/>
                <w:sz w:val="15"/>
                <w:szCs w:val="15"/>
              </w:rPr>
            </w:pPr>
            <w:r>
              <w:rPr>
                <w:rFonts w:ascii="仿宋_GB2312" w:eastAsia="仿宋_GB2312" w:cs="宋体" w:hint="eastAsia"/>
                <w:b/>
                <w:bCs/>
                <w:color w:val="000000"/>
                <w:kern w:val="0"/>
                <w:sz w:val="15"/>
                <w:szCs w:val="15"/>
              </w:rPr>
              <w:t>木竹材加工、木竹藤家具、木竹浆、森林食品药材和油料生产加工、林产化工等企业</w:t>
            </w:r>
          </w:p>
        </w:tc>
        <w:tc>
          <w:tcPr>
            <w:tcW w:w="2552" w:type="dxa"/>
            <w:tcBorders>
              <w:top w:val="nil"/>
              <w:left w:val="nil"/>
              <w:bottom w:val="single" w:sz="4" w:space="0" w:color="auto"/>
              <w:right w:val="single" w:sz="4" w:space="0" w:color="auto"/>
            </w:tcBorders>
            <w:vAlign w:val="center"/>
          </w:tcPr>
          <w:p>
            <w:pPr>
              <w:widowControl/>
              <w:jc w:val="left"/>
              <w:rPr>
                <w:rFonts w:ascii="仿宋_GB2312" w:eastAsia="仿宋_GB2312" w:cs="宋体"/>
                <w:b/>
                <w:bCs/>
                <w:color w:val="000000"/>
                <w:kern w:val="0"/>
                <w:sz w:val="15"/>
                <w:szCs w:val="15"/>
              </w:rPr>
            </w:pPr>
            <w:r>
              <w:rPr>
                <w:rFonts w:ascii="仿宋_GB2312" w:eastAsia="仿宋_GB2312" w:cs="宋体" w:hint="eastAsia"/>
                <w:b/>
                <w:bCs/>
                <w:color w:val="000000"/>
                <w:kern w:val="0"/>
                <w:sz w:val="15"/>
                <w:szCs w:val="15"/>
              </w:rPr>
              <w:t>木材市场、家具市场、人造板市场、林业园林机械交易市场及新型的互联网林产品贸易市场</w:t>
            </w:r>
          </w:p>
        </w:tc>
        <w:tc>
          <w:tcPr>
            <w:tcW w:w="2167" w:type="dxa"/>
            <w:tcBorders>
              <w:top w:val="nil"/>
              <w:left w:val="nil"/>
              <w:bottom w:val="single" w:sz="4" w:space="0" w:color="auto"/>
              <w:right w:val="single" w:sz="4" w:space="0" w:color="auto"/>
            </w:tcBorders>
            <w:vAlign w:val="center"/>
          </w:tcPr>
          <w:p>
            <w:pPr>
              <w:widowControl/>
              <w:jc w:val="left"/>
              <w:rPr>
                <w:rFonts w:ascii="仿宋_GB2312" w:eastAsia="仿宋_GB2312" w:cs="宋体"/>
                <w:b/>
                <w:bCs/>
                <w:color w:val="000000"/>
                <w:kern w:val="0"/>
                <w:sz w:val="15"/>
                <w:szCs w:val="15"/>
              </w:rPr>
            </w:pPr>
            <w:r>
              <w:rPr>
                <w:rFonts w:ascii="仿宋_GB2312" w:eastAsia="仿宋_GB2312" w:cs="宋体" w:hint="eastAsia"/>
                <w:b/>
                <w:bCs/>
                <w:color w:val="000000"/>
                <w:kern w:val="0"/>
                <w:sz w:val="15"/>
                <w:szCs w:val="15"/>
              </w:rPr>
              <w:t>依托森林环境资源</w:t>
            </w:r>
            <w:r>
              <w:rPr>
                <w:rFonts w:ascii="仿宋_GB2312" w:eastAsia="仿宋_GB2312" w:cs="宋体" w:hint="eastAsia"/>
                <w:b/>
                <w:bCs/>
                <w:color w:val="000000"/>
                <w:kern w:val="0"/>
                <w:sz w:val="15"/>
                <w:szCs w:val="15"/>
                <w:lang w:eastAsia="zh-CN"/>
              </w:rPr>
              <w:t>开展</w:t>
            </w:r>
            <w:r>
              <w:rPr>
                <w:rFonts w:ascii="仿宋_GB2312" w:eastAsia="仿宋_GB2312" w:cs="宋体" w:hint="eastAsia"/>
                <w:b/>
                <w:bCs/>
                <w:color w:val="000000"/>
                <w:kern w:val="0"/>
                <w:sz w:val="15"/>
                <w:szCs w:val="15"/>
              </w:rPr>
              <w:t>生态旅游、康养为主业的企业</w:t>
            </w:r>
          </w:p>
        </w:tc>
        <w:tc>
          <w:tcPr>
            <w:tcW w:w="2783" w:type="dxa"/>
            <w:gridSpan w:val="2"/>
            <w:tcBorders>
              <w:top w:val="nil"/>
              <w:left w:val="nil"/>
              <w:bottom w:val="single" w:sz="4" w:space="0" w:color="auto"/>
              <w:right w:val="single" w:sz="4" w:space="0" w:color="auto"/>
            </w:tcBorders>
            <w:vAlign w:val="center"/>
          </w:tcPr>
          <w:p>
            <w:pPr>
              <w:widowControl/>
              <w:jc w:val="left"/>
              <w:rPr>
                <w:rFonts w:ascii="仿宋_GB2312" w:eastAsia="仿宋_GB2312" w:cs="宋体"/>
                <w:b/>
                <w:bCs/>
                <w:color w:val="000000"/>
                <w:kern w:val="0"/>
                <w:sz w:val="15"/>
                <w:szCs w:val="15"/>
              </w:rPr>
            </w:pPr>
            <w:r>
              <w:rPr>
                <w:rFonts w:ascii="仿宋_GB2312" w:eastAsia="仿宋_GB2312" w:cs="宋体" w:hint="eastAsia"/>
                <w:b/>
                <w:bCs/>
                <w:color w:val="000000"/>
                <w:kern w:val="0"/>
                <w:sz w:val="15"/>
                <w:szCs w:val="15"/>
              </w:rPr>
              <w:t>林业规划设计、林业工程监理、林业调查评估认证、产权交易、新技术研发、造林施工、园林工程及以林业为主的生态修复等企业</w:t>
            </w:r>
          </w:p>
        </w:tc>
        <w:tc>
          <w:tcPr>
            <w:tcW w:w="1391" w:type="dxa"/>
            <w:vMerge/>
            <w:tcBorders>
              <w:left w:val="nil"/>
              <w:bottom w:val="single" w:sz="4" w:space="0" w:color="auto"/>
              <w:right w:val="single" w:sz="4" w:space="0" w:color="auto"/>
            </w:tcBorders>
            <w:vAlign w:val="center"/>
          </w:tcPr>
          <w:p/>
        </w:tc>
      </w:tr>
      <w:tr>
        <w:trPr>
          <w:trHeight w:val="1302"/>
        </w:trPr>
        <w:tc>
          <w:tcPr>
            <w:tcW w:w="738" w:type="dxa"/>
            <w:vMerge w:val="restart"/>
            <w:tcBorders>
              <w:top w:val="nil"/>
              <w:left w:val="single" w:sz="4" w:space="0" w:color="auto"/>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指标及评分标准</w:t>
            </w:r>
          </w:p>
        </w:tc>
        <w:tc>
          <w:tcPr>
            <w:tcW w:w="978"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企业规模（</w:t>
            </w:r>
            <w:r>
              <w:rPr>
                <w:rFonts w:ascii="仿宋_GB2312" w:eastAsia="仿宋_GB2312" w:cs="宋体"/>
                <w:color w:val="000000"/>
                <w:kern w:val="0"/>
                <w:szCs w:val="21"/>
              </w:rPr>
              <w:t>30分）</w:t>
            </w:r>
          </w:p>
        </w:tc>
        <w:tc>
          <w:tcPr>
            <w:tcW w:w="684" w:type="dxa"/>
            <w:gridSpan w:val="2"/>
            <w:tcBorders>
              <w:top w:val="nil"/>
              <w:left w:val="nil"/>
              <w:bottom w:val="single" w:sz="4" w:space="0" w:color="auto"/>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color w:val="000000"/>
                <w:kern w:val="0"/>
                <w:szCs w:val="21"/>
              </w:rPr>
              <w:t>1.年销售收入/交易额</w:t>
            </w:r>
          </w:p>
        </w:tc>
        <w:tc>
          <w:tcPr>
            <w:tcW w:w="2209" w:type="dxa"/>
            <w:tcBorders>
              <w:top w:val="nil"/>
              <w:left w:val="nil"/>
              <w:bottom w:val="single" w:sz="4" w:space="0" w:color="auto"/>
              <w:right w:val="single" w:sz="4" w:space="0" w:color="auto"/>
            </w:tcBorders>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销售收入达1</w:t>
            </w:r>
            <w:r>
              <w:rPr>
                <w:rFonts w:ascii="仿宋_GB2312" w:eastAsia="仿宋_GB2312" w:cs="宋体"/>
                <w:color w:val="000000"/>
                <w:kern w:val="0"/>
                <w:sz w:val="15"/>
                <w:szCs w:val="15"/>
              </w:rPr>
              <w:t>000万元的计20分</w:t>
            </w:r>
            <w:r>
              <w:rPr>
                <w:rFonts w:ascii="仿宋_GB2312" w:eastAsia="仿宋_GB2312" w:cs="宋体" w:hint="eastAsia"/>
                <w:color w:val="000000"/>
                <w:kern w:val="0"/>
                <w:sz w:val="15"/>
                <w:szCs w:val="15"/>
              </w:rPr>
              <w:t>，每减少100万</w:t>
            </w:r>
            <w:r>
              <w:rPr>
                <w:rFonts w:ascii="仿宋_GB2312" w:eastAsia="仿宋_GB2312" w:cs="宋体"/>
                <w:color w:val="000000"/>
                <w:kern w:val="0"/>
                <w:sz w:val="15"/>
                <w:szCs w:val="15"/>
              </w:rPr>
              <w:t>元</w:t>
            </w:r>
            <w:r>
              <w:rPr>
                <w:rFonts w:ascii="仿宋_GB2312" w:eastAsia="仿宋_GB2312" w:cs="宋体" w:hint="eastAsia"/>
                <w:color w:val="000000"/>
                <w:kern w:val="0"/>
                <w:sz w:val="15"/>
                <w:szCs w:val="15"/>
              </w:rPr>
              <w:t>扣1</w:t>
            </w:r>
            <w:r>
              <w:rPr>
                <w:rFonts w:ascii="仿宋_GB2312" w:eastAsia="仿宋_GB2312" w:cs="宋体"/>
                <w:color w:val="000000"/>
                <w:kern w:val="0"/>
                <w:sz w:val="15"/>
                <w:szCs w:val="15"/>
              </w:rPr>
              <w:t>分，每增加</w:t>
            </w:r>
            <w:r>
              <w:rPr>
                <w:rFonts w:ascii="仿宋_GB2312" w:eastAsia="仿宋_GB2312" w:cs="宋体" w:hint="eastAsia"/>
                <w:color w:val="000000"/>
                <w:kern w:val="0"/>
                <w:sz w:val="15"/>
                <w:szCs w:val="15"/>
              </w:rPr>
              <w:t>1</w:t>
            </w:r>
            <w:r>
              <w:rPr>
                <w:rFonts w:ascii="仿宋_GB2312" w:eastAsia="仿宋_GB2312" w:cs="宋体"/>
                <w:color w:val="000000"/>
                <w:kern w:val="0"/>
                <w:sz w:val="15"/>
                <w:szCs w:val="15"/>
              </w:rPr>
              <w:t>00万元加1分，最高加</w:t>
            </w:r>
            <w:r>
              <w:rPr>
                <w:rFonts w:ascii="仿宋_GB2312" w:eastAsia="仿宋_GB2312" w:cs="宋体" w:hint="eastAsia"/>
                <w:color w:val="000000"/>
                <w:kern w:val="0"/>
                <w:sz w:val="15"/>
                <w:szCs w:val="15"/>
              </w:rPr>
              <w:t>或减不超过</w:t>
            </w:r>
            <w:r>
              <w:rPr>
                <w:rFonts w:ascii="仿宋_GB2312" w:eastAsia="仿宋_GB2312" w:cs="宋体"/>
                <w:color w:val="000000"/>
                <w:kern w:val="0"/>
                <w:sz w:val="15"/>
                <w:szCs w:val="15"/>
              </w:rPr>
              <w:t>10分。</w:t>
            </w:r>
          </w:p>
        </w:tc>
        <w:tc>
          <w:tcPr>
            <w:tcW w:w="2140" w:type="dxa"/>
            <w:gridSpan w:val="2"/>
            <w:tcBorders>
              <w:top w:val="nil"/>
              <w:left w:val="nil"/>
              <w:bottom w:val="single" w:sz="4" w:space="0" w:color="auto"/>
              <w:right w:val="single" w:sz="4" w:space="0" w:color="auto"/>
            </w:tcBorders>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销售收入达</w:t>
            </w:r>
            <w:r>
              <w:rPr>
                <w:rFonts w:ascii="仿宋_GB2312" w:eastAsia="仿宋_GB2312" w:cs="宋体"/>
                <w:color w:val="000000"/>
                <w:kern w:val="0"/>
                <w:sz w:val="15"/>
                <w:szCs w:val="15"/>
              </w:rPr>
              <w:t>1亿元的计20分</w:t>
            </w:r>
            <w:r>
              <w:rPr>
                <w:rFonts w:ascii="仿宋_GB2312" w:eastAsia="仿宋_GB2312" w:cs="宋体" w:hint="eastAsia"/>
                <w:color w:val="000000"/>
                <w:kern w:val="0"/>
                <w:sz w:val="15"/>
                <w:szCs w:val="15"/>
              </w:rPr>
              <w:t>，每减少1000万</w:t>
            </w:r>
            <w:r>
              <w:rPr>
                <w:rFonts w:ascii="仿宋_GB2312" w:eastAsia="仿宋_GB2312" w:cs="宋体"/>
                <w:color w:val="000000"/>
                <w:kern w:val="0"/>
                <w:sz w:val="15"/>
                <w:szCs w:val="15"/>
              </w:rPr>
              <w:t>元</w:t>
            </w:r>
            <w:r>
              <w:rPr>
                <w:rFonts w:ascii="仿宋_GB2312" w:eastAsia="仿宋_GB2312" w:cs="宋体" w:hint="eastAsia"/>
                <w:color w:val="000000"/>
                <w:kern w:val="0"/>
                <w:sz w:val="15"/>
                <w:szCs w:val="15"/>
              </w:rPr>
              <w:t>扣1</w:t>
            </w:r>
            <w:r>
              <w:rPr>
                <w:rFonts w:ascii="仿宋_GB2312" w:eastAsia="仿宋_GB2312" w:cs="宋体"/>
                <w:color w:val="000000"/>
                <w:kern w:val="0"/>
                <w:sz w:val="15"/>
                <w:szCs w:val="15"/>
              </w:rPr>
              <w:t>分，每增加1000万元加1分，最高加</w:t>
            </w:r>
            <w:r>
              <w:rPr>
                <w:rFonts w:ascii="仿宋_GB2312" w:eastAsia="仿宋_GB2312" w:cs="宋体" w:hint="eastAsia"/>
                <w:color w:val="000000"/>
                <w:kern w:val="0"/>
                <w:sz w:val="15"/>
                <w:szCs w:val="15"/>
              </w:rPr>
              <w:t>或减不超过</w:t>
            </w:r>
            <w:r>
              <w:rPr>
                <w:rFonts w:ascii="仿宋_GB2312" w:eastAsia="仿宋_GB2312" w:cs="宋体"/>
                <w:color w:val="000000"/>
                <w:kern w:val="0"/>
                <w:sz w:val="15"/>
                <w:szCs w:val="15"/>
              </w:rPr>
              <w:t>10分。</w:t>
            </w:r>
          </w:p>
        </w:tc>
        <w:tc>
          <w:tcPr>
            <w:tcW w:w="2552" w:type="dxa"/>
            <w:tcBorders>
              <w:top w:val="nil"/>
              <w:left w:val="nil"/>
              <w:bottom w:val="single" w:sz="4" w:space="0" w:color="auto"/>
              <w:right w:val="single" w:sz="4" w:space="0" w:color="auto"/>
            </w:tcBorders>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交易额达</w:t>
            </w:r>
            <w:r>
              <w:rPr>
                <w:rFonts w:ascii="仿宋_GB2312" w:eastAsia="仿宋_GB2312" w:cs="宋体"/>
                <w:color w:val="000000"/>
                <w:kern w:val="0"/>
                <w:sz w:val="15"/>
                <w:szCs w:val="15"/>
              </w:rPr>
              <w:t>10亿元的计20分</w:t>
            </w:r>
            <w:r>
              <w:rPr>
                <w:rFonts w:ascii="仿宋_GB2312" w:eastAsia="仿宋_GB2312" w:cs="宋体" w:hint="eastAsia"/>
                <w:color w:val="000000"/>
                <w:kern w:val="0"/>
                <w:sz w:val="15"/>
                <w:szCs w:val="15"/>
              </w:rPr>
              <w:t>，每减少1亿</w:t>
            </w:r>
            <w:r>
              <w:rPr>
                <w:rFonts w:ascii="仿宋_GB2312" w:eastAsia="仿宋_GB2312" w:cs="宋体"/>
                <w:color w:val="000000"/>
                <w:kern w:val="0"/>
                <w:sz w:val="15"/>
                <w:szCs w:val="15"/>
              </w:rPr>
              <w:t>元</w:t>
            </w:r>
            <w:r>
              <w:rPr>
                <w:rFonts w:ascii="仿宋_GB2312" w:eastAsia="仿宋_GB2312" w:cs="宋体" w:hint="eastAsia"/>
                <w:color w:val="000000"/>
                <w:kern w:val="0"/>
                <w:sz w:val="15"/>
                <w:szCs w:val="15"/>
              </w:rPr>
              <w:t>扣1</w:t>
            </w:r>
            <w:r>
              <w:rPr>
                <w:rFonts w:ascii="仿宋_GB2312" w:eastAsia="仿宋_GB2312" w:cs="宋体"/>
                <w:color w:val="000000"/>
                <w:kern w:val="0"/>
                <w:sz w:val="15"/>
                <w:szCs w:val="15"/>
              </w:rPr>
              <w:t>分，每增加1亿元加1分，最高加</w:t>
            </w:r>
            <w:r>
              <w:rPr>
                <w:rFonts w:ascii="仿宋_GB2312" w:eastAsia="仿宋_GB2312" w:cs="宋体" w:hint="eastAsia"/>
                <w:color w:val="000000"/>
                <w:kern w:val="0"/>
                <w:sz w:val="15"/>
                <w:szCs w:val="15"/>
              </w:rPr>
              <w:t>或减不超过</w:t>
            </w:r>
            <w:r>
              <w:rPr>
                <w:rFonts w:ascii="仿宋_GB2312" w:eastAsia="仿宋_GB2312" w:cs="宋体"/>
                <w:color w:val="000000"/>
                <w:kern w:val="0"/>
                <w:sz w:val="15"/>
                <w:szCs w:val="15"/>
              </w:rPr>
              <w:t>10分。</w:t>
            </w:r>
          </w:p>
        </w:tc>
        <w:tc>
          <w:tcPr>
            <w:tcW w:w="2167" w:type="dxa"/>
            <w:tcBorders>
              <w:top w:val="nil"/>
              <w:left w:val="nil"/>
              <w:bottom w:val="single" w:sz="4" w:space="0" w:color="auto"/>
              <w:right w:val="single" w:sz="4" w:space="0" w:color="auto"/>
            </w:tcBorders>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经营收入达</w:t>
            </w:r>
            <w:r>
              <w:rPr>
                <w:rFonts w:ascii="仿宋_GB2312" w:eastAsia="仿宋_GB2312" w:cs="宋体"/>
                <w:color w:val="000000"/>
                <w:kern w:val="0"/>
                <w:sz w:val="15"/>
                <w:szCs w:val="15"/>
              </w:rPr>
              <w:t>500万元的计20分</w:t>
            </w:r>
            <w:r>
              <w:rPr>
                <w:rFonts w:ascii="仿宋_GB2312" w:eastAsia="仿宋_GB2312" w:cs="宋体" w:hint="eastAsia"/>
                <w:color w:val="000000"/>
                <w:kern w:val="0"/>
                <w:sz w:val="15"/>
                <w:szCs w:val="15"/>
              </w:rPr>
              <w:t>，每减少50万</w:t>
            </w:r>
            <w:r>
              <w:rPr>
                <w:rFonts w:ascii="仿宋_GB2312" w:eastAsia="仿宋_GB2312" w:cs="宋体"/>
                <w:color w:val="000000"/>
                <w:kern w:val="0"/>
                <w:sz w:val="15"/>
                <w:szCs w:val="15"/>
              </w:rPr>
              <w:t>元</w:t>
            </w:r>
            <w:r>
              <w:rPr>
                <w:rFonts w:ascii="仿宋_GB2312" w:eastAsia="仿宋_GB2312" w:cs="宋体" w:hint="eastAsia"/>
                <w:color w:val="000000"/>
                <w:kern w:val="0"/>
                <w:sz w:val="15"/>
                <w:szCs w:val="15"/>
              </w:rPr>
              <w:t>扣1</w:t>
            </w:r>
            <w:r>
              <w:rPr>
                <w:rFonts w:ascii="仿宋_GB2312" w:eastAsia="仿宋_GB2312" w:cs="宋体"/>
                <w:color w:val="000000"/>
                <w:kern w:val="0"/>
                <w:sz w:val="15"/>
                <w:szCs w:val="15"/>
              </w:rPr>
              <w:t>分，每增加50万元加1分，最高加</w:t>
            </w:r>
            <w:r>
              <w:rPr>
                <w:rFonts w:ascii="仿宋_GB2312" w:eastAsia="仿宋_GB2312" w:cs="宋体" w:hint="eastAsia"/>
                <w:color w:val="000000"/>
                <w:kern w:val="0"/>
                <w:sz w:val="15"/>
                <w:szCs w:val="15"/>
              </w:rPr>
              <w:t>或减不超过</w:t>
            </w:r>
            <w:r>
              <w:rPr>
                <w:rFonts w:ascii="仿宋_GB2312" w:eastAsia="仿宋_GB2312" w:cs="宋体"/>
                <w:color w:val="000000"/>
                <w:kern w:val="0"/>
                <w:sz w:val="15"/>
                <w:szCs w:val="15"/>
              </w:rPr>
              <w:t>10分。</w:t>
            </w:r>
          </w:p>
        </w:tc>
        <w:tc>
          <w:tcPr>
            <w:tcW w:w="2783" w:type="dxa"/>
            <w:gridSpan w:val="2"/>
            <w:tcBorders>
              <w:top w:val="nil"/>
              <w:left w:val="nil"/>
              <w:bottom w:val="single" w:sz="4" w:space="0" w:color="auto"/>
              <w:right w:val="single" w:sz="4" w:space="0" w:color="auto"/>
            </w:tcBorders>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经营收入达1</w:t>
            </w:r>
            <w:r>
              <w:rPr>
                <w:rFonts w:ascii="仿宋_GB2312" w:eastAsia="仿宋_GB2312" w:cs="宋体"/>
                <w:color w:val="000000"/>
                <w:kern w:val="0"/>
                <w:sz w:val="15"/>
                <w:szCs w:val="15"/>
              </w:rPr>
              <w:t>000万元的计20分</w:t>
            </w:r>
            <w:r>
              <w:rPr>
                <w:rFonts w:ascii="仿宋_GB2312" w:eastAsia="仿宋_GB2312" w:cs="宋体" w:hint="eastAsia"/>
                <w:color w:val="000000"/>
                <w:kern w:val="0"/>
                <w:sz w:val="15"/>
                <w:szCs w:val="15"/>
              </w:rPr>
              <w:t>，每减少100万</w:t>
            </w:r>
            <w:r>
              <w:rPr>
                <w:rFonts w:ascii="仿宋_GB2312" w:eastAsia="仿宋_GB2312" w:cs="宋体"/>
                <w:color w:val="000000"/>
                <w:kern w:val="0"/>
                <w:sz w:val="15"/>
                <w:szCs w:val="15"/>
              </w:rPr>
              <w:t>元</w:t>
            </w:r>
            <w:r>
              <w:rPr>
                <w:rFonts w:ascii="仿宋_GB2312" w:eastAsia="仿宋_GB2312" w:cs="宋体" w:hint="eastAsia"/>
                <w:color w:val="000000"/>
                <w:kern w:val="0"/>
                <w:sz w:val="15"/>
                <w:szCs w:val="15"/>
              </w:rPr>
              <w:t>扣1</w:t>
            </w:r>
            <w:r>
              <w:rPr>
                <w:rFonts w:ascii="仿宋_GB2312" w:eastAsia="仿宋_GB2312" w:cs="宋体"/>
                <w:color w:val="000000"/>
                <w:kern w:val="0"/>
                <w:sz w:val="15"/>
                <w:szCs w:val="15"/>
              </w:rPr>
              <w:t>分，每增加</w:t>
            </w:r>
            <w:r>
              <w:rPr>
                <w:rFonts w:ascii="仿宋_GB2312" w:eastAsia="仿宋_GB2312" w:cs="宋体" w:hint="eastAsia"/>
                <w:color w:val="000000"/>
                <w:kern w:val="0"/>
                <w:sz w:val="15"/>
                <w:szCs w:val="15"/>
              </w:rPr>
              <w:t>100</w:t>
            </w:r>
            <w:r>
              <w:rPr>
                <w:rFonts w:ascii="仿宋_GB2312" w:eastAsia="仿宋_GB2312" w:cs="宋体"/>
                <w:color w:val="000000"/>
                <w:kern w:val="0"/>
                <w:sz w:val="15"/>
                <w:szCs w:val="15"/>
              </w:rPr>
              <w:t>万元加1分，最高加</w:t>
            </w:r>
            <w:r>
              <w:rPr>
                <w:rFonts w:ascii="仿宋_GB2312" w:eastAsia="仿宋_GB2312" w:cs="宋体" w:hint="eastAsia"/>
                <w:color w:val="000000"/>
                <w:kern w:val="0"/>
                <w:sz w:val="15"/>
                <w:szCs w:val="15"/>
              </w:rPr>
              <w:t>或减不超过</w:t>
            </w:r>
            <w:r>
              <w:rPr>
                <w:rFonts w:ascii="仿宋_GB2312" w:eastAsia="仿宋_GB2312" w:cs="宋体"/>
                <w:color w:val="000000"/>
                <w:kern w:val="0"/>
                <w:sz w:val="15"/>
                <w:szCs w:val="15"/>
              </w:rPr>
              <w:t>10分。</w:t>
            </w:r>
          </w:p>
        </w:tc>
        <w:tc>
          <w:tcPr>
            <w:tcW w:w="1391"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cs="宋体"/>
                <w:color w:val="000000"/>
                <w:kern w:val="0"/>
                <w:sz w:val="15"/>
                <w:szCs w:val="15"/>
              </w:rPr>
            </w:pPr>
            <w:r>
              <w:rPr>
                <w:rFonts w:ascii="仿宋_GB2312" w:eastAsia="仿宋_GB2312" w:cs="宋体" w:hint="eastAsia"/>
                <w:color w:val="000000"/>
                <w:kern w:val="0"/>
                <w:sz w:val="15"/>
                <w:szCs w:val="15"/>
              </w:rPr>
              <w:t>以具备国家认可资质的中介机构审核数据为准。</w:t>
            </w:r>
          </w:p>
        </w:tc>
      </w:tr>
      <w:tr>
        <w:trPr>
          <w:trHeight w:val="744"/>
        </w:trPr>
        <w:tc>
          <w:tcPr>
            <w:tcW w:w="738" w:type="dxa"/>
            <w:vMerge/>
            <w:tcBorders>
              <w:left w:val="single" w:sz="4" w:space="0" w:color="auto"/>
              <w:right w:val="single" w:sz="4" w:space="0" w:color="auto"/>
            </w:tcBorders>
            <w:vAlign w:val="center"/>
          </w:tcPr>
          <w:p/>
        </w:tc>
        <w:tc>
          <w:tcPr>
            <w:tcW w:w="978" w:type="dxa"/>
            <w:vMerge/>
            <w:tcBorders>
              <w:top w:val="nil"/>
              <w:left w:val="single" w:sz="4" w:space="0" w:color="auto"/>
              <w:bottom w:val="single" w:sz="4" w:space="0" w:color="auto"/>
              <w:right w:val="single" w:sz="4" w:space="0" w:color="auto"/>
            </w:tcBorders>
            <w:vAlign w:val="center"/>
          </w:tcPr>
          <w:p/>
        </w:tc>
        <w:tc>
          <w:tcPr>
            <w:tcW w:w="684" w:type="dxa"/>
            <w:gridSpan w:val="2"/>
            <w:tcBorders>
              <w:top w:val="nil"/>
              <w:left w:val="nil"/>
              <w:bottom w:val="single" w:sz="4" w:space="0" w:color="auto"/>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color w:val="000000"/>
                <w:kern w:val="0"/>
                <w:szCs w:val="21"/>
              </w:rPr>
              <w:t>2.总资产</w:t>
            </w:r>
          </w:p>
        </w:tc>
        <w:tc>
          <w:tcPr>
            <w:tcW w:w="4349" w:type="dxa"/>
            <w:gridSpan w:val="3"/>
            <w:tcBorders>
              <w:top w:val="single" w:sz="4" w:space="0" w:color="auto"/>
              <w:left w:val="nil"/>
              <w:bottom w:val="single" w:sz="4" w:space="0" w:color="auto"/>
              <w:right w:val="single" w:sz="4" w:space="0" w:color="000000"/>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总资产</w:t>
            </w:r>
            <w:r>
              <w:rPr>
                <w:rFonts w:ascii="仿宋_GB2312" w:eastAsia="仿宋_GB2312" w:cs="宋体"/>
                <w:color w:val="000000"/>
                <w:kern w:val="0"/>
                <w:sz w:val="15"/>
                <w:szCs w:val="15"/>
              </w:rPr>
              <w:t>在</w:t>
            </w:r>
            <w:r>
              <w:rPr>
                <w:rFonts w:ascii="仿宋_GB2312" w:eastAsia="仿宋_GB2312" w:cs="宋体" w:hint="eastAsia"/>
                <w:color w:val="000000"/>
                <w:kern w:val="0"/>
                <w:sz w:val="15"/>
                <w:szCs w:val="15"/>
              </w:rPr>
              <w:t>2</w:t>
            </w:r>
            <w:r>
              <w:rPr>
                <w:rFonts w:ascii="仿宋_GB2312" w:eastAsia="仿宋_GB2312" w:cs="宋体"/>
                <w:color w:val="000000"/>
                <w:kern w:val="0"/>
                <w:sz w:val="15"/>
                <w:szCs w:val="15"/>
              </w:rPr>
              <w:t>000万元以上。达不到的扣2分。</w:t>
            </w:r>
          </w:p>
        </w:tc>
        <w:tc>
          <w:tcPr>
            <w:tcW w:w="2552" w:type="dxa"/>
            <w:tcBorders>
              <w:top w:val="nil"/>
              <w:left w:val="nil"/>
              <w:bottom w:val="single" w:sz="4" w:space="0" w:color="auto"/>
              <w:right w:val="single" w:sz="4" w:space="0" w:color="auto"/>
            </w:tcBorders>
            <w:vAlign w:val="center"/>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总资产</w:t>
            </w:r>
            <w:r>
              <w:rPr>
                <w:rFonts w:ascii="仿宋_GB2312" w:eastAsia="仿宋_GB2312" w:cs="宋体"/>
                <w:color w:val="000000"/>
                <w:kern w:val="0"/>
                <w:sz w:val="15"/>
                <w:szCs w:val="15"/>
              </w:rPr>
              <w:t>在2000万元以上。达不到的扣2分。</w:t>
            </w:r>
          </w:p>
        </w:tc>
        <w:tc>
          <w:tcPr>
            <w:tcW w:w="2167" w:type="dxa"/>
            <w:tcBorders>
              <w:top w:val="nil"/>
              <w:left w:val="nil"/>
              <w:bottom w:val="single" w:sz="4" w:space="0" w:color="auto"/>
              <w:right w:val="single" w:sz="4" w:space="0" w:color="auto"/>
            </w:tcBorders>
            <w:vAlign w:val="center"/>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总资产</w:t>
            </w:r>
            <w:r>
              <w:rPr>
                <w:rFonts w:ascii="仿宋_GB2312" w:eastAsia="仿宋_GB2312" w:cs="宋体"/>
                <w:color w:val="000000"/>
                <w:kern w:val="0"/>
                <w:sz w:val="15"/>
                <w:szCs w:val="15"/>
              </w:rPr>
              <w:t>在3000万元以上。达不到的扣2分。</w:t>
            </w:r>
          </w:p>
        </w:tc>
        <w:tc>
          <w:tcPr>
            <w:tcW w:w="2783" w:type="dxa"/>
            <w:gridSpan w:val="2"/>
            <w:tcBorders>
              <w:top w:val="nil"/>
              <w:left w:val="nil"/>
              <w:bottom w:val="single" w:sz="4" w:space="0" w:color="auto"/>
              <w:right w:val="single" w:sz="4" w:space="0" w:color="auto"/>
            </w:tcBorders>
            <w:vAlign w:val="center"/>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总资产</w:t>
            </w:r>
            <w:r>
              <w:rPr>
                <w:rFonts w:ascii="仿宋_GB2312" w:eastAsia="仿宋_GB2312" w:cs="宋体"/>
                <w:color w:val="000000"/>
                <w:kern w:val="0"/>
                <w:sz w:val="15"/>
                <w:szCs w:val="15"/>
              </w:rPr>
              <w:t>在1000万元以上。达不到的扣2分。</w:t>
            </w:r>
          </w:p>
        </w:tc>
        <w:tc>
          <w:tcPr>
            <w:tcW w:w="1391" w:type="dxa"/>
            <w:vMerge/>
            <w:tcBorders>
              <w:top w:val="nil"/>
              <w:left w:val="single" w:sz="4" w:space="0" w:color="auto"/>
              <w:bottom w:val="single" w:sz="4" w:space="0" w:color="auto"/>
              <w:right w:val="single" w:sz="4" w:space="0" w:color="auto"/>
            </w:tcBorders>
            <w:vAlign w:val="center"/>
          </w:tcPr>
          <w:p/>
        </w:tc>
      </w:tr>
      <w:tr>
        <w:trPr>
          <w:trHeight w:val="702"/>
        </w:trPr>
        <w:tc>
          <w:tcPr>
            <w:tcW w:w="738" w:type="dxa"/>
            <w:vMerge/>
            <w:tcBorders>
              <w:left w:val="single" w:sz="4" w:space="0" w:color="auto"/>
              <w:right w:val="single" w:sz="4" w:space="0" w:color="auto"/>
            </w:tcBorders>
            <w:vAlign w:val="center"/>
          </w:tcPr>
          <w:p/>
        </w:tc>
        <w:tc>
          <w:tcPr>
            <w:tcW w:w="978" w:type="dxa"/>
            <w:vMerge/>
            <w:tcBorders>
              <w:top w:val="nil"/>
              <w:left w:val="single" w:sz="4" w:space="0" w:color="auto"/>
              <w:bottom w:val="single" w:sz="4" w:space="0" w:color="auto"/>
              <w:right w:val="single" w:sz="4" w:space="0" w:color="auto"/>
            </w:tcBorders>
            <w:vAlign w:val="center"/>
          </w:tcPr>
          <w:p/>
        </w:tc>
        <w:tc>
          <w:tcPr>
            <w:tcW w:w="684" w:type="dxa"/>
            <w:gridSpan w:val="2"/>
            <w:tcBorders>
              <w:top w:val="nil"/>
              <w:left w:val="nil"/>
              <w:bottom w:val="single" w:sz="4" w:space="0" w:color="auto"/>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color w:val="000000"/>
                <w:kern w:val="0"/>
                <w:szCs w:val="21"/>
              </w:rPr>
              <w:t>3.固定资产</w:t>
            </w:r>
          </w:p>
        </w:tc>
        <w:tc>
          <w:tcPr>
            <w:tcW w:w="2209" w:type="dxa"/>
            <w:tcBorders>
              <w:top w:val="nil"/>
              <w:left w:val="nil"/>
              <w:bottom w:val="single" w:sz="4" w:space="0" w:color="auto"/>
              <w:right w:val="single" w:sz="4" w:space="0" w:color="auto"/>
            </w:tcBorders>
            <w:vAlign w:val="center"/>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　</w:t>
            </w:r>
          </w:p>
        </w:tc>
        <w:tc>
          <w:tcPr>
            <w:tcW w:w="2140" w:type="dxa"/>
            <w:gridSpan w:val="2"/>
            <w:tcBorders>
              <w:top w:val="nil"/>
              <w:left w:val="nil"/>
              <w:bottom w:val="single" w:sz="4" w:space="0" w:color="auto"/>
              <w:right w:val="single" w:sz="4" w:space="0" w:color="auto"/>
            </w:tcBorders>
            <w:vAlign w:val="center"/>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固定资产</w:t>
            </w:r>
            <w:r>
              <w:rPr>
                <w:rFonts w:ascii="仿宋_GB2312" w:eastAsia="仿宋_GB2312" w:cs="宋体"/>
                <w:color w:val="000000"/>
                <w:kern w:val="0"/>
                <w:sz w:val="15"/>
                <w:szCs w:val="15"/>
              </w:rPr>
              <w:t>在1500万元以上。达不到的扣2分。</w:t>
            </w:r>
          </w:p>
        </w:tc>
        <w:tc>
          <w:tcPr>
            <w:tcW w:w="4719" w:type="dxa"/>
            <w:gridSpan w:val="2"/>
            <w:tcBorders>
              <w:top w:val="nil"/>
              <w:left w:val="nil"/>
              <w:bottom w:val="single" w:sz="4" w:space="0" w:color="auto"/>
              <w:right w:val="single" w:sz="4" w:space="0" w:color="auto"/>
            </w:tcBorders>
            <w:vAlign w:val="center"/>
          </w:tcPr>
          <w:p>
            <w:pPr>
              <w:widowControl/>
              <w:rPr>
                <w:rFonts w:ascii="仿宋_GB2312" w:eastAsia="仿宋_GB2312" w:cs="宋体"/>
                <w:color w:val="000000"/>
                <w:kern w:val="0"/>
                <w:sz w:val="15"/>
                <w:szCs w:val="15"/>
              </w:rPr>
            </w:pPr>
            <w:r>
              <w:rPr>
                <w:rFonts w:ascii="仿宋_GB2312" w:eastAsia="仿宋_GB2312" w:cs="宋体" w:hint="eastAsia"/>
                <w:color w:val="000000"/>
                <w:kern w:val="0"/>
                <w:sz w:val="15"/>
                <w:szCs w:val="15"/>
              </w:rPr>
              <w:t>固定资产</w:t>
            </w:r>
            <w:r>
              <w:rPr>
                <w:rFonts w:ascii="仿宋_GB2312" w:eastAsia="仿宋_GB2312" w:cs="宋体"/>
                <w:color w:val="000000"/>
                <w:kern w:val="0"/>
                <w:sz w:val="15"/>
                <w:szCs w:val="15"/>
              </w:rPr>
              <w:t>在1000万元以上。达不到的扣2分。</w:t>
            </w:r>
          </w:p>
          <w:p>
            <w:pPr>
              <w:widowControl/>
              <w:rPr>
                <w:rFonts w:ascii="仿宋_GB2312" w:eastAsia="仿宋_GB2312" w:cs="宋体"/>
                <w:color w:val="000000"/>
                <w:kern w:val="0"/>
                <w:sz w:val="15"/>
                <w:szCs w:val="15"/>
              </w:rPr>
            </w:pPr>
          </w:p>
        </w:tc>
        <w:tc>
          <w:tcPr>
            <w:tcW w:w="2783" w:type="dxa"/>
            <w:gridSpan w:val="2"/>
            <w:tcBorders>
              <w:top w:val="nil"/>
              <w:left w:val="nil"/>
              <w:bottom w:val="single" w:sz="4" w:space="0" w:color="auto"/>
              <w:right w:val="single" w:sz="4" w:space="0" w:color="auto"/>
            </w:tcBorders>
            <w:vAlign w:val="center"/>
          </w:tcPr>
          <w:p>
            <w:pPr>
              <w:widowControl/>
              <w:rPr>
                <w:rFonts w:ascii="仿宋_GB2312" w:eastAsia="仿宋_GB2312" w:cs="宋体"/>
                <w:color w:val="000000"/>
                <w:kern w:val="0"/>
                <w:sz w:val="15"/>
                <w:szCs w:val="15"/>
              </w:rPr>
            </w:pPr>
          </w:p>
        </w:tc>
        <w:tc>
          <w:tcPr>
            <w:tcW w:w="1391" w:type="dxa"/>
            <w:vMerge/>
            <w:tcBorders>
              <w:top w:val="nil"/>
              <w:left w:val="single" w:sz="4" w:space="0" w:color="auto"/>
              <w:bottom w:val="single" w:sz="4" w:space="0" w:color="auto"/>
              <w:right w:val="single" w:sz="4" w:space="0" w:color="auto"/>
            </w:tcBorders>
            <w:vAlign w:val="center"/>
          </w:tcPr>
          <w:p/>
        </w:tc>
      </w:tr>
      <w:tr>
        <w:trPr>
          <w:trHeight w:val="778"/>
        </w:trPr>
        <w:tc>
          <w:tcPr>
            <w:tcW w:w="738" w:type="dxa"/>
            <w:vMerge/>
            <w:tcBorders>
              <w:left w:val="single" w:sz="4" w:space="0" w:color="auto"/>
              <w:bottom w:val="nil"/>
              <w:right w:val="single" w:sz="4" w:space="0" w:color="auto"/>
            </w:tcBorders>
            <w:vAlign w:val="center"/>
          </w:tcPr>
          <w:p/>
        </w:tc>
        <w:tc>
          <w:tcPr>
            <w:tcW w:w="1662" w:type="dxa"/>
            <w:gridSpan w:val="3"/>
            <w:vMerge w:val="restart"/>
            <w:tcBorders>
              <w:top w:val="single" w:sz="4" w:space="0" w:color="auto"/>
              <w:left w:val="single" w:sz="4" w:space="0" w:color="auto"/>
              <w:bottom w:val="nil"/>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企业经营状况（</w:t>
            </w:r>
            <w:r>
              <w:rPr>
                <w:rFonts w:ascii="仿宋_GB2312" w:eastAsia="仿宋_GB2312" w:cs="宋体"/>
                <w:color w:val="000000"/>
                <w:kern w:val="0"/>
                <w:szCs w:val="21"/>
              </w:rPr>
              <w:t>15分）</w:t>
            </w:r>
          </w:p>
        </w:tc>
        <w:tc>
          <w:tcPr>
            <w:tcW w:w="11851" w:type="dxa"/>
            <w:gridSpan w:val="7"/>
            <w:tcBorders>
              <w:top w:val="single" w:sz="4" w:space="0" w:color="auto"/>
              <w:left w:val="nil"/>
              <w:bottom w:val="single" w:sz="4" w:space="0" w:color="auto"/>
              <w:right w:val="single" w:sz="4" w:space="0" w:color="000000"/>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1.企业资产负债率在</w:t>
            </w:r>
            <w:r>
              <w:rPr>
                <w:rFonts w:ascii="仿宋_GB2312" w:eastAsia="仿宋_GB2312" w:cs="宋体" w:hint="eastAsia"/>
                <w:color w:val="000000"/>
                <w:kern w:val="0"/>
                <w:sz w:val="15"/>
                <w:szCs w:val="15"/>
              </w:rPr>
              <w:t>55</w:t>
            </w:r>
            <w:r>
              <w:rPr>
                <w:rFonts w:ascii="仿宋_GB2312" w:eastAsia="仿宋_GB2312" w:cs="宋体"/>
                <w:color w:val="000000"/>
                <w:kern w:val="0"/>
                <w:sz w:val="15"/>
                <w:szCs w:val="15"/>
              </w:rPr>
              <w:t>%（含</w:t>
            </w:r>
            <w:r>
              <w:rPr>
                <w:rFonts w:ascii="仿宋_GB2312" w:eastAsia="仿宋_GB2312" w:cs="宋体" w:hint="eastAsia"/>
                <w:color w:val="000000"/>
                <w:kern w:val="0"/>
                <w:sz w:val="15"/>
                <w:szCs w:val="15"/>
              </w:rPr>
              <w:t>55</w:t>
            </w:r>
            <w:r>
              <w:rPr>
                <w:rFonts w:ascii="仿宋_GB2312" w:eastAsia="仿宋_GB2312" w:cs="宋体"/>
                <w:color w:val="000000"/>
                <w:kern w:val="0"/>
                <w:sz w:val="15"/>
                <w:szCs w:val="15"/>
              </w:rPr>
              <w:t>%）以下，计10分；在</w:t>
            </w:r>
            <w:r>
              <w:rPr>
                <w:rFonts w:ascii="仿宋_GB2312" w:eastAsia="仿宋_GB2312" w:cs="宋体" w:hint="eastAsia"/>
                <w:color w:val="000000"/>
                <w:kern w:val="0"/>
                <w:sz w:val="15"/>
                <w:szCs w:val="15"/>
              </w:rPr>
              <w:t>56</w:t>
            </w:r>
            <w:r>
              <w:rPr>
                <w:rFonts w:ascii="仿宋_GB2312" w:eastAsia="仿宋_GB2312" w:cs="宋体"/>
                <w:color w:val="000000"/>
                <w:kern w:val="0"/>
                <w:sz w:val="15"/>
                <w:szCs w:val="15"/>
              </w:rPr>
              <w:t>%～</w:t>
            </w:r>
            <w:r>
              <w:rPr>
                <w:rFonts w:ascii="仿宋_GB2312" w:eastAsia="仿宋_GB2312" w:cs="宋体" w:hint="eastAsia"/>
                <w:color w:val="000000"/>
                <w:kern w:val="0"/>
                <w:sz w:val="15"/>
                <w:szCs w:val="15"/>
              </w:rPr>
              <w:t>60</w:t>
            </w:r>
            <w:r>
              <w:rPr>
                <w:rFonts w:ascii="仿宋_GB2312" w:eastAsia="仿宋_GB2312" w:cs="宋体"/>
                <w:color w:val="000000"/>
                <w:kern w:val="0"/>
                <w:sz w:val="15"/>
                <w:szCs w:val="15"/>
              </w:rPr>
              <w:t>%（含</w:t>
            </w:r>
            <w:r>
              <w:rPr>
                <w:rFonts w:ascii="仿宋_GB2312" w:eastAsia="仿宋_GB2312" w:cs="宋体" w:hint="eastAsia"/>
                <w:color w:val="000000"/>
                <w:kern w:val="0"/>
                <w:sz w:val="15"/>
                <w:szCs w:val="15"/>
              </w:rPr>
              <w:t>60</w:t>
            </w:r>
            <w:r>
              <w:rPr>
                <w:rFonts w:ascii="仿宋_GB2312" w:eastAsia="仿宋_GB2312" w:cs="宋体"/>
                <w:color w:val="000000"/>
                <w:kern w:val="0"/>
                <w:sz w:val="15"/>
                <w:szCs w:val="15"/>
              </w:rPr>
              <w:t>%）的计8分；在</w:t>
            </w:r>
            <w:r>
              <w:rPr>
                <w:rFonts w:ascii="仿宋_GB2312" w:eastAsia="仿宋_GB2312" w:cs="宋体" w:hint="eastAsia"/>
                <w:color w:val="000000"/>
                <w:kern w:val="0"/>
                <w:sz w:val="15"/>
                <w:szCs w:val="15"/>
              </w:rPr>
              <w:t>61</w:t>
            </w:r>
            <w:r>
              <w:rPr>
                <w:rFonts w:ascii="仿宋_GB2312" w:eastAsia="仿宋_GB2312" w:cs="宋体"/>
                <w:color w:val="000000"/>
                <w:kern w:val="0"/>
                <w:sz w:val="15"/>
                <w:szCs w:val="15"/>
              </w:rPr>
              <w:t>%～</w:t>
            </w:r>
            <w:r>
              <w:rPr>
                <w:rFonts w:ascii="仿宋_GB2312" w:eastAsia="仿宋_GB2312" w:cs="宋体" w:hint="eastAsia"/>
                <w:color w:val="000000"/>
                <w:kern w:val="0"/>
                <w:sz w:val="15"/>
                <w:szCs w:val="15"/>
              </w:rPr>
              <w:t>65</w:t>
            </w:r>
            <w:r>
              <w:rPr>
                <w:rFonts w:ascii="仿宋_GB2312" w:eastAsia="仿宋_GB2312" w:cs="宋体"/>
                <w:color w:val="000000"/>
                <w:kern w:val="0"/>
                <w:sz w:val="15"/>
                <w:szCs w:val="15"/>
              </w:rPr>
              <w:t>%（含</w:t>
            </w:r>
            <w:r>
              <w:rPr>
                <w:rFonts w:ascii="仿宋_GB2312" w:eastAsia="仿宋_GB2312" w:cs="宋体" w:hint="eastAsia"/>
                <w:color w:val="000000"/>
                <w:kern w:val="0"/>
                <w:sz w:val="15"/>
                <w:szCs w:val="15"/>
              </w:rPr>
              <w:t>65</w:t>
            </w:r>
            <w:r>
              <w:rPr>
                <w:rFonts w:ascii="仿宋_GB2312" w:eastAsia="仿宋_GB2312" w:cs="宋体"/>
                <w:color w:val="000000"/>
                <w:kern w:val="0"/>
                <w:sz w:val="15"/>
                <w:szCs w:val="15"/>
              </w:rPr>
              <w:t>%）的计6分；在</w:t>
            </w:r>
            <w:r>
              <w:rPr>
                <w:rFonts w:ascii="仿宋_GB2312" w:eastAsia="仿宋_GB2312" w:cs="宋体" w:hint="eastAsia"/>
                <w:color w:val="000000"/>
                <w:kern w:val="0"/>
                <w:sz w:val="15"/>
                <w:szCs w:val="15"/>
              </w:rPr>
              <w:t>66</w:t>
            </w:r>
            <w:r>
              <w:rPr>
                <w:rFonts w:ascii="仿宋_GB2312" w:eastAsia="仿宋_GB2312" w:cs="宋体"/>
                <w:color w:val="000000"/>
                <w:kern w:val="0"/>
                <w:sz w:val="15"/>
                <w:szCs w:val="15"/>
              </w:rPr>
              <w:t>%～</w:t>
            </w:r>
            <w:r>
              <w:rPr>
                <w:rFonts w:ascii="仿宋_GB2312" w:eastAsia="仿宋_GB2312" w:cs="宋体" w:hint="eastAsia"/>
                <w:color w:val="000000"/>
                <w:kern w:val="0"/>
                <w:sz w:val="15"/>
                <w:szCs w:val="15"/>
              </w:rPr>
              <w:t>70</w:t>
            </w:r>
            <w:r>
              <w:rPr>
                <w:rFonts w:ascii="仿宋_GB2312" w:eastAsia="仿宋_GB2312" w:cs="宋体"/>
                <w:color w:val="000000"/>
                <w:kern w:val="0"/>
                <w:sz w:val="15"/>
                <w:szCs w:val="15"/>
              </w:rPr>
              <w:t>%（</w:t>
            </w:r>
            <w:r>
              <w:rPr>
                <w:rFonts w:ascii="仿宋_GB2312" w:eastAsia="仿宋_GB2312" w:cs="宋体" w:hint="eastAsia"/>
                <w:color w:val="000000"/>
                <w:kern w:val="0"/>
                <w:sz w:val="15"/>
                <w:szCs w:val="15"/>
              </w:rPr>
              <w:t>不</w:t>
            </w:r>
            <w:r>
              <w:rPr>
                <w:rFonts w:ascii="仿宋_GB2312" w:eastAsia="仿宋_GB2312" w:cs="宋体"/>
                <w:color w:val="000000"/>
                <w:kern w:val="0"/>
                <w:sz w:val="15"/>
                <w:szCs w:val="15"/>
              </w:rPr>
              <w:t>含</w:t>
            </w:r>
            <w:r>
              <w:rPr>
                <w:rFonts w:ascii="仿宋_GB2312" w:eastAsia="仿宋_GB2312" w:cs="宋体" w:hint="eastAsia"/>
                <w:color w:val="000000"/>
                <w:kern w:val="0"/>
                <w:sz w:val="15"/>
                <w:szCs w:val="15"/>
              </w:rPr>
              <w:t>70</w:t>
            </w:r>
            <w:r>
              <w:rPr>
                <w:rFonts w:ascii="仿宋_GB2312" w:eastAsia="仿宋_GB2312" w:cs="宋体"/>
                <w:color w:val="000000"/>
                <w:kern w:val="0"/>
                <w:sz w:val="15"/>
                <w:szCs w:val="15"/>
              </w:rPr>
              <w:t>%）的计4分；在</w:t>
            </w:r>
            <w:r>
              <w:rPr>
                <w:rFonts w:ascii="仿宋_GB2312" w:eastAsia="仿宋_GB2312" w:cs="宋体" w:hint="eastAsia"/>
                <w:color w:val="000000"/>
                <w:kern w:val="0"/>
                <w:sz w:val="15"/>
                <w:szCs w:val="15"/>
              </w:rPr>
              <w:t>7</w:t>
            </w:r>
            <w:r>
              <w:rPr>
                <w:rFonts w:ascii="仿宋_GB2312" w:eastAsia="仿宋_GB2312" w:cs="宋体"/>
                <w:color w:val="000000"/>
                <w:kern w:val="0"/>
                <w:sz w:val="15"/>
                <w:szCs w:val="15"/>
              </w:rPr>
              <w:t xml:space="preserve">0%以上计0分。                                                                </w:t>
            </w:r>
          </w:p>
        </w:tc>
        <w:tc>
          <w:tcPr>
            <w:tcW w:w="1391" w:type="dxa"/>
            <w:vMerge w:val="restart"/>
            <w:tcBorders>
              <w:top w:val="nil"/>
              <w:left w:val="single" w:sz="4" w:space="0" w:color="auto"/>
              <w:bottom w:val="nil"/>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以具备国家认可资质的中介机构审核数据为准。</w:t>
            </w:r>
          </w:p>
        </w:tc>
      </w:tr>
      <w:tr>
        <w:trPr>
          <w:trHeight w:val="384"/>
        </w:trPr>
        <w:tc>
          <w:tcPr>
            <w:tcW w:w="738" w:type="dxa"/>
            <w:vMerge/>
            <w:tcBorders>
              <w:left w:val="single" w:sz="4" w:space="0" w:color="auto"/>
              <w:right w:val="single" w:sz="4" w:space="0" w:color="auto"/>
            </w:tcBorders>
            <w:vAlign w:val="center"/>
          </w:tcPr>
          <w:p/>
        </w:tc>
        <w:tc>
          <w:tcPr>
            <w:tcW w:w="1662" w:type="dxa"/>
            <w:gridSpan w:val="3"/>
            <w:vMerge/>
            <w:tcBorders>
              <w:left w:val="single" w:sz="4" w:space="0" w:color="auto"/>
              <w:bottom w:val="single" w:sz="4" w:space="0" w:color="auto"/>
              <w:right w:val="single" w:sz="4" w:space="0" w:color="auto"/>
            </w:tcBorders>
            <w:vAlign w:val="center"/>
          </w:tcPr>
          <w:p/>
        </w:tc>
        <w:tc>
          <w:tcPr>
            <w:tcW w:w="11851" w:type="dxa"/>
            <w:gridSpan w:val="7"/>
            <w:tcBorders>
              <w:top w:val="single" w:sz="4" w:space="0" w:color="auto"/>
              <w:left w:val="nil"/>
              <w:bottom w:val="single" w:sz="4" w:space="0" w:color="auto"/>
              <w:right w:val="single" w:sz="4" w:space="0" w:color="000000"/>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2.企业净资产收益率达5%计2分，</w:t>
            </w:r>
            <w:r>
              <w:rPr>
                <w:rFonts w:ascii="仿宋_GB2312" w:eastAsia="仿宋_GB2312" w:cs="宋体" w:hint="eastAsia"/>
                <w:color w:val="000000"/>
                <w:kern w:val="0"/>
                <w:sz w:val="15"/>
                <w:szCs w:val="15"/>
              </w:rPr>
              <w:t>达不到计0分，</w:t>
            </w:r>
            <w:r>
              <w:rPr>
                <w:rFonts w:ascii="仿宋_GB2312" w:eastAsia="仿宋_GB2312" w:cs="宋体"/>
                <w:color w:val="000000"/>
                <w:kern w:val="0"/>
                <w:sz w:val="15"/>
                <w:szCs w:val="15"/>
              </w:rPr>
              <w:t>每增加一个百分点加1分，最高</w:t>
            </w:r>
            <w:r>
              <w:rPr>
                <w:rFonts w:ascii="仿宋_GB2312" w:eastAsia="仿宋_GB2312" w:cs="宋体" w:hint="eastAsia"/>
                <w:color w:val="000000"/>
                <w:kern w:val="0"/>
                <w:sz w:val="15"/>
                <w:szCs w:val="15"/>
              </w:rPr>
              <w:t>加分不超过3</w:t>
            </w:r>
            <w:r>
              <w:rPr>
                <w:rFonts w:ascii="仿宋_GB2312" w:eastAsia="仿宋_GB2312" w:cs="宋体"/>
                <w:color w:val="000000"/>
                <w:kern w:val="0"/>
                <w:sz w:val="15"/>
                <w:szCs w:val="15"/>
              </w:rPr>
              <w:t>分。</w:t>
            </w:r>
          </w:p>
        </w:tc>
        <w:tc>
          <w:tcPr>
            <w:tcW w:w="1391" w:type="dxa"/>
            <w:vMerge/>
            <w:tcBorders>
              <w:left w:val="single" w:sz="4" w:space="0" w:color="auto"/>
              <w:bottom w:val="single" w:sz="4" w:space="0" w:color="000000"/>
              <w:right w:val="single" w:sz="4" w:space="0" w:color="auto"/>
            </w:tcBorders>
            <w:vAlign w:val="center"/>
          </w:tcPr>
          <w:p/>
        </w:tc>
      </w:tr>
      <w:tr>
        <w:trPr>
          <w:trHeight w:val="384"/>
        </w:trPr>
        <w:tc>
          <w:tcPr>
            <w:tcW w:w="738" w:type="dxa"/>
            <w:vMerge/>
            <w:tcBorders>
              <w:left w:val="single" w:sz="4" w:space="0" w:color="auto"/>
              <w:right w:val="single" w:sz="4" w:space="0" w:color="auto"/>
            </w:tcBorders>
            <w:vAlign w:val="center"/>
          </w:tcPr>
          <w:p/>
        </w:tc>
        <w:tc>
          <w:tcPr>
            <w:tcW w:w="1662"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企业信用（20</w:t>
            </w:r>
            <w:r>
              <w:rPr>
                <w:rFonts w:ascii="仿宋_GB2312" w:eastAsia="仿宋_GB2312" w:cs="宋体"/>
                <w:color w:val="000000"/>
                <w:kern w:val="0"/>
                <w:szCs w:val="21"/>
              </w:rPr>
              <w:t>分）</w:t>
            </w:r>
          </w:p>
        </w:tc>
        <w:tc>
          <w:tcPr>
            <w:tcW w:w="11851" w:type="dxa"/>
            <w:gridSpan w:val="7"/>
            <w:tcBorders>
              <w:top w:val="single" w:sz="4" w:space="0" w:color="auto"/>
              <w:left w:val="nil"/>
              <w:bottom w:val="single" w:sz="4" w:space="0" w:color="auto"/>
              <w:right w:val="single" w:sz="4" w:space="0" w:color="000000"/>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1.企业依法纳税</w:t>
            </w:r>
            <w:r>
              <w:rPr>
                <w:rFonts w:ascii="仿宋_GB2312" w:eastAsia="仿宋_GB2312" w:cs="宋体" w:hint="eastAsia"/>
                <w:color w:val="000000"/>
                <w:kern w:val="0"/>
                <w:sz w:val="15"/>
                <w:szCs w:val="15"/>
              </w:rPr>
              <w:t>，有年度纳税或免税证明的计10分，此项不达标或入诚信黑名单</w:t>
            </w:r>
            <w:r>
              <w:rPr>
                <w:rFonts w:ascii="仿宋_GB2312" w:eastAsia="仿宋_GB2312" w:cs="宋体"/>
                <w:color w:val="000000"/>
                <w:kern w:val="0"/>
                <w:sz w:val="15"/>
                <w:szCs w:val="15"/>
              </w:rPr>
              <w:t>的</w:t>
            </w:r>
            <w:r>
              <w:rPr>
                <w:rFonts w:ascii="仿宋_GB2312" w:eastAsia="仿宋_GB2312" w:cs="宋体" w:hint="eastAsia"/>
                <w:color w:val="000000"/>
                <w:kern w:val="0"/>
                <w:sz w:val="15"/>
                <w:szCs w:val="15"/>
              </w:rPr>
              <w:t>取消申报资格</w:t>
            </w:r>
            <w:r>
              <w:rPr>
                <w:rFonts w:ascii="仿宋_GB2312" w:eastAsia="仿宋_GB2312" w:cs="宋体"/>
                <w:color w:val="000000"/>
                <w:kern w:val="0"/>
                <w:sz w:val="15"/>
                <w:szCs w:val="15"/>
              </w:rPr>
              <w:t xml:space="preserve">。 </w:t>
            </w:r>
          </w:p>
        </w:tc>
        <w:tc>
          <w:tcPr>
            <w:tcW w:w="1391" w:type="dxa"/>
            <w:vMerge w:val="restart"/>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以职能部门证明或凭证为准。</w:t>
            </w:r>
          </w:p>
        </w:tc>
      </w:tr>
      <w:tr>
        <w:trPr>
          <w:trHeight w:val="401"/>
        </w:trPr>
        <w:tc>
          <w:tcPr>
            <w:tcW w:w="738" w:type="dxa"/>
            <w:vMerge/>
            <w:tcBorders>
              <w:left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single" w:sz="4" w:space="0" w:color="auto"/>
              <w:right w:val="single" w:sz="4" w:space="0" w:color="auto"/>
            </w:tcBorders>
            <w:vAlign w:val="center"/>
          </w:tcPr>
          <w:p/>
        </w:tc>
        <w:tc>
          <w:tcPr>
            <w:tcW w:w="11851" w:type="dxa"/>
            <w:gridSpan w:val="7"/>
            <w:tcBorders>
              <w:top w:val="single" w:sz="4" w:space="0" w:color="auto"/>
              <w:left w:val="nil"/>
              <w:bottom w:val="single" w:sz="4" w:space="0" w:color="auto"/>
              <w:right w:val="single" w:sz="4" w:space="0" w:color="000000"/>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2</w:t>
            </w:r>
            <w:r>
              <w:rPr>
                <w:rFonts w:ascii="仿宋_GB2312" w:eastAsia="仿宋_GB2312" w:cs="宋体"/>
                <w:color w:val="000000"/>
                <w:kern w:val="0"/>
                <w:sz w:val="15"/>
                <w:szCs w:val="15"/>
              </w:rPr>
              <w:t>.企业开户银行出具企业在日常经济往来中守法、诚信、运行正常</w:t>
            </w:r>
            <w:r>
              <w:rPr>
                <w:rFonts w:ascii="仿宋_GB2312" w:eastAsia="仿宋_GB2312" w:cs="宋体" w:hint="eastAsia"/>
                <w:color w:val="000000"/>
                <w:kern w:val="0"/>
                <w:sz w:val="15"/>
                <w:szCs w:val="15"/>
              </w:rPr>
              <w:t>证明</w:t>
            </w:r>
            <w:r>
              <w:rPr>
                <w:rFonts w:ascii="仿宋_GB2312" w:eastAsia="仿宋_GB2312" w:cs="宋体"/>
                <w:color w:val="000000"/>
                <w:kern w:val="0"/>
                <w:sz w:val="15"/>
                <w:szCs w:val="15"/>
              </w:rPr>
              <w:t>的计</w:t>
            </w:r>
            <w:r>
              <w:rPr>
                <w:rFonts w:ascii="仿宋_GB2312" w:eastAsia="仿宋_GB2312" w:cs="宋体" w:hint="eastAsia"/>
                <w:color w:val="000000"/>
                <w:kern w:val="0"/>
                <w:sz w:val="15"/>
                <w:szCs w:val="15"/>
              </w:rPr>
              <w:t>10</w:t>
            </w:r>
            <w:r>
              <w:rPr>
                <w:rFonts w:ascii="仿宋_GB2312" w:eastAsia="仿宋_GB2312" w:cs="宋体"/>
                <w:color w:val="000000"/>
                <w:kern w:val="0"/>
                <w:sz w:val="15"/>
                <w:szCs w:val="15"/>
              </w:rPr>
              <w:t>分，未提供证明或证明不符要求的此项计0分</w:t>
            </w:r>
            <w:r>
              <w:rPr>
                <w:rFonts w:ascii="仿宋_GB2312" w:eastAsia="仿宋_GB2312" w:cs="宋体" w:hint="eastAsia"/>
                <w:color w:val="000000"/>
                <w:kern w:val="0"/>
                <w:sz w:val="15"/>
                <w:szCs w:val="15"/>
              </w:rPr>
              <w:t>；</w:t>
            </w:r>
            <w:r>
              <w:rPr>
                <w:rFonts w:ascii="仿宋_GB2312" w:eastAsia="仿宋_GB2312" w:cs="宋体"/>
                <w:color w:val="000000"/>
                <w:kern w:val="0"/>
                <w:sz w:val="15"/>
                <w:szCs w:val="15"/>
              </w:rPr>
              <w:t>在金融机构有不良信贷记录的，扣2分。</w:t>
            </w:r>
          </w:p>
        </w:tc>
        <w:tc>
          <w:tcPr>
            <w:tcW w:w="1391" w:type="dxa"/>
            <w:vMerge/>
            <w:tcBorders>
              <w:top w:val="nil"/>
              <w:left w:val="single" w:sz="4" w:space="0" w:color="auto"/>
              <w:bottom w:val="single" w:sz="4" w:space="0" w:color="000000"/>
              <w:right w:val="single" w:sz="4" w:space="0" w:color="auto"/>
            </w:tcBorders>
            <w:vAlign w:val="center"/>
          </w:tcPr>
          <w:p/>
        </w:tc>
      </w:tr>
      <w:tr>
        <w:trPr>
          <w:trHeight w:val="440"/>
        </w:trPr>
        <w:tc>
          <w:tcPr>
            <w:tcW w:w="738" w:type="dxa"/>
            <w:vMerge/>
            <w:tcBorders>
              <w:left w:val="single" w:sz="4" w:space="0" w:color="auto"/>
              <w:bottom w:val="single" w:sz="4" w:space="0" w:color="auto"/>
              <w:right w:val="single" w:sz="4" w:space="0" w:color="auto"/>
            </w:tcBorders>
            <w:vAlign w:val="center"/>
          </w:tcPr>
          <w:p/>
        </w:tc>
        <w:tc>
          <w:tcPr>
            <w:tcW w:w="1662"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企业带动农户能力（</w:t>
            </w:r>
            <w:r>
              <w:rPr>
                <w:rFonts w:ascii="仿宋_GB2312" w:eastAsia="仿宋_GB2312" w:cs="宋体"/>
                <w:color w:val="000000"/>
                <w:kern w:val="0"/>
                <w:szCs w:val="21"/>
              </w:rPr>
              <w:t>10分）</w:t>
            </w:r>
          </w:p>
        </w:tc>
        <w:tc>
          <w:tcPr>
            <w:tcW w:w="6901" w:type="dxa"/>
            <w:gridSpan w:val="4"/>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通过“公司</w:t>
            </w:r>
            <w:r>
              <w:rPr>
                <w:rFonts w:ascii="仿宋_GB2312" w:eastAsia="仿宋_GB2312" w:cs="宋体"/>
                <w:color w:val="000000"/>
                <w:kern w:val="0"/>
                <w:sz w:val="15"/>
                <w:szCs w:val="15"/>
              </w:rPr>
              <w:t>+基地+农户”等形式带动农户</w:t>
            </w:r>
            <w:r>
              <w:rPr>
                <w:rFonts w:ascii="仿宋_GB2312" w:eastAsia="仿宋_GB2312" w:cs="宋体" w:hint="eastAsia"/>
                <w:color w:val="000000"/>
                <w:kern w:val="0"/>
                <w:sz w:val="15"/>
                <w:szCs w:val="15"/>
              </w:rPr>
              <w:t>1</w:t>
            </w:r>
            <w:r>
              <w:rPr>
                <w:rFonts w:ascii="仿宋_GB2312" w:eastAsia="仿宋_GB2312" w:cs="宋体"/>
                <w:color w:val="000000"/>
                <w:kern w:val="0"/>
                <w:sz w:val="15"/>
                <w:szCs w:val="15"/>
              </w:rPr>
              <w:t>00户，且每户年收入1000元以上计5分；每增加</w:t>
            </w:r>
            <w:r>
              <w:rPr>
                <w:rFonts w:ascii="仿宋_GB2312" w:eastAsia="仿宋_GB2312" w:cs="宋体" w:hint="eastAsia"/>
                <w:color w:val="000000"/>
                <w:kern w:val="0"/>
                <w:sz w:val="15"/>
                <w:szCs w:val="15"/>
              </w:rPr>
              <w:t>2</w:t>
            </w:r>
            <w:r>
              <w:rPr>
                <w:rFonts w:ascii="仿宋_GB2312" w:eastAsia="仿宋_GB2312" w:cs="宋体"/>
                <w:color w:val="000000"/>
                <w:kern w:val="0"/>
                <w:sz w:val="15"/>
                <w:szCs w:val="15"/>
              </w:rPr>
              <w:t>0户加1分，最高</w:t>
            </w:r>
            <w:r>
              <w:rPr>
                <w:rFonts w:ascii="仿宋_GB2312" w:eastAsia="仿宋_GB2312" w:cs="宋体" w:hint="eastAsia"/>
                <w:color w:val="000000"/>
                <w:kern w:val="0"/>
                <w:sz w:val="15"/>
                <w:szCs w:val="15"/>
              </w:rPr>
              <w:t>加分不超过5</w:t>
            </w:r>
            <w:r>
              <w:rPr>
                <w:rFonts w:ascii="仿宋_GB2312" w:eastAsia="仿宋_GB2312" w:cs="宋体"/>
                <w:color w:val="000000"/>
                <w:kern w:val="0"/>
                <w:sz w:val="15"/>
                <w:szCs w:val="15"/>
              </w:rPr>
              <w:t>分。</w:t>
            </w:r>
          </w:p>
        </w:tc>
        <w:tc>
          <w:tcPr>
            <w:tcW w:w="2167" w:type="dxa"/>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创造当地农户就业50人</w:t>
            </w:r>
            <w:r>
              <w:rPr>
                <w:rFonts w:ascii="仿宋_GB2312" w:eastAsia="仿宋_GB2312" w:cs="宋体"/>
                <w:color w:val="000000"/>
                <w:kern w:val="0"/>
                <w:sz w:val="15"/>
                <w:szCs w:val="15"/>
              </w:rPr>
              <w:t>以上计5分；每增加10</w:t>
            </w:r>
            <w:r>
              <w:rPr>
                <w:rFonts w:ascii="仿宋_GB2312" w:eastAsia="仿宋_GB2312" w:cs="宋体" w:hint="eastAsia"/>
                <w:color w:val="000000"/>
                <w:kern w:val="0"/>
                <w:sz w:val="15"/>
                <w:szCs w:val="15"/>
              </w:rPr>
              <w:t>人</w:t>
            </w:r>
            <w:r>
              <w:rPr>
                <w:rFonts w:ascii="仿宋_GB2312" w:eastAsia="仿宋_GB2312" w:cs="宋体"/>
                <w:color w:val="000000"/>
                <w:kern w:val="0"/>
                <w:sz w:val="15"/>
                <w:szCs w:val="15"/>
              </w:rPr>
              <w:t>加1分，最高</w:t>
            </w:r>
            <w:r>
              <w:rPr>
                <w:rFonts w:ascii="仿宋_GB2312" w:eastAsia="仿宋_GB2312" w:cs="宋体" w:hint="eastAsia"/>
                <w:color w:val="000000"/>
                <w:kern w:val="0"/>
                <w:sz w:val="15"/>
                <w:szCs w:val="15"/>
              </w:rPr>
              <w:t>加分不超过5</w:t>
            </w:r>
            <w:r>
              <w:rPr>
                <w:rFonts w:ascii="仿宋_GB2312" w:eastAsia="仿宋_GB2312" w:cs="宋体"/>
                <w:color w:val="000000"/>
                <w:kern w:val="0"/>
                <w:sz w:val="15"/>
                <w:szCs w:val="15"/>
              </w:rPr>
              <w:t>分。</w:t>
            </w:r>
          </w:p>
        </w:tc>
        <w:tc>
          <w:tcPr>
            <w:tcW w:w="2783" w:type="dxa"/>
            <w:gridSpan w:val="2"/>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创造就业人数</w:t>
            </w:r>
            <w:r>
              <w:rPr>
                <w:rFonts w:ascii="仿宋_GB2312" w:eastAsia="仿宋_GB2312" w:cs="宋体"/>
                <w:color w:val="000000"/>
                <w:kern w:val="0"/>
                <w:sz w:val="15"/>
                <w:szCs w:val="15"/>
              </w:rPr>
              <w:t>100个以上计5分</w:t>
            </w:r>
            <w:r>
              <w:rPr>
                <w:rFonts w:ascii="仿宋_GB2312" w:eastAsia="仿宋_GB2312" w:cs="宋体" w:hint="eastAsia"/>
                <w:color w:val="000000"/>
                <w:kern w:val="0"/>
                <w:sz w:val="15"/>
                <w:szCs w:val="15"/>
              </w:rPr>
              <w:t>；</w:t>
            </w:r>
            <w:r>
              <w:rPr>
                <w:rFonts w:ascii="仿宋_GB2312" w:eastAsia="仿宋_GB2312" w:cs="宋体"/>
                <w:color w:val="000000"/>
                <w:kern w:val="0"/>
                <w:sz w:val="15"/>
                <w:szCs w:val="15"/>
              </w:rPr>
              <w:t>每增加10个加1分，最高</w:t>
            </w:r>
            <w:r>
              <w:rPr>
                <w:rFonts w:ascii="仿宋_GB2312" w:eastAsia="仿宋_GB2312" w:cs="宋体" w:hint="eastAsia"/>
                <w:color w:val="000000"/>
                <w:kern w:val="0"/>
                <w:sz w:val="15"/>
                <w:szCs w:val="15"/>
              </w:rPr>
              <w:t>加分不超过5</w:t>
            </w:r>
            <w:r>
              <w:rPr>
                <w:rFonts w:ascii="仿宋_GB2312" w:eastAsia="仿宋_GB2312" w:cs="宋体"/>
                <w:color w:val="000000"/>
                <w:kern w:val="0"/>
                <w:sz w:val="15"/>
                <w:szCs w:val="15"/>
              </w:rPr>
              <w:t>分。</w:t>
            </w:r>
          </w:p>
        </w:tc>
        <w:tc>
          <w:tcPr>
            <w:tcW w:w="1391" w:type="dxa"/>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以企业与各类经营主体、农户或经济组织签订经济合同等证明为准。</w:t>
            </w:r>
          </w:p>
        </w:tc>
      </w:tr>
      <w:tr>
        <w:trPr>
          <w:trHeight w:val="1800"/>
        </w:trPr>
        <w:tc>
          <w:tcPr>
            <w:tcW w:w="738" w:type="dxa"/>
            <w:vMerge w:val="restart"/>
            <w:tcBorders>
              <w:top w:val="single" w:sz="4" w:space="0" w:color="auto"/>
              <w:left w:val="single" w:sz="4" w:space="0" w:color="auto"/>
              <w:bottom w:val="single" w:sz="4" w:space="0" w:color="auto"/>
              <w:right w:val="single" w:sz="4" w:space="0" w:color="auto"/>
            </w:tcBorders>
            <w:vAlign w:val="center"/>
          </w:tcPr>
          <w:p>
            <w:pPr>
              <w:jc w:val="left"/>
              <w:rPr>
                <w:rFonts w:ascii="仿宋_GB2312" w:eastAsia="仿宋_GB2312" w:cs="宋体"/>
                <w:color w:val="000000"/>
                <w:kern w:val="0"/>
                <w:szCs w:val="21"/>
              </w:rPr>
            </w:pPr>
            <w:r>
              <w:rPr>
                <w:rFonts w:ascii="仿宋_GB2312" w:eastAsia="仿宋_GB2312" w:cs="宋体" w:hint="eastAsia"/>
                <w:color w:val="000000"/>
                <w:kern w:val="0"/>
                <w:szCs w:val="21"/>
              </w:rPr>
              <w:t>指标及评分标准</w:t>
            </w:r>
          </w:p>
        </w:tc>
        <w:tc>
          <w:tcPr>
            <w:tcW w:w="1662" w:type="dxa"/>
            <w:gridSpan w:val="3"/>
            <w:vMerge w:val="restart"/>
            <w:tcBorders>
              <w:top w:val="single" w:sz="4" w:space="0" w:color="auto"/>
              <w:left w:val="single" w:sz="4" w:space="0" w:color="auto"/>
              <w:bottom w:val="nil"/>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企业生产基地（</w:t>
            </w:r>
            <w:r>
              <w:rPr>
                <w:rFonts w:ascii="仿宋_GB2312" w:eastAsia="仿宋_GB2312" w:cs="宋体"/>
                <w:color w:val="000000"/>
                <w:kern w:val="0"/>
                <w:szCs w:val="21"/>
              </w:rPr>
              <w:t>10分）</w:t>
            </w:r>
          </w:p>
        </w:tc>
        <w:tc>
          <w:tcPr>
            <w:tcW w:w="2417"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1.种植企业：木本果树面积500亩及以上，或茶叶面积200亩及以上，或油茶种植面积</w:t>
            </w:r>
            <w:r>
              <w:rPr>
                <w:rFonts w:ascii="仿宋_GB2312" w:eastAsia="仿宋_GB2312" w:cs="宋体" w:hint="eastAsia"/>
                <w:color w:val="000000"/>
                <w:kern w:val="0"/>
                <w:sz w:val="15"/>
                <w:szCs w:val="15"/>
              </w:rPr>
              <w:t>2</w:t>
            </w:r>
            <w:r>
              <w:rPr>
                <w:rFonts w:ascii="仿宋_GB2312" w:eastAsia="仿宋_GB2312" w:cs="宋体"/>
                <w:color w:val="000000"/>
                <w:kern w:val="0"/>
                <w:sz w:val="15"/>
                <w:szCs w:val="15"/>
              </w:rPr>
              <w:t>000亩及</w:t>
            </w:r>
            <w:r>
              <w:rPr>
                <w:rFonts w:ascii="仿宋_GB2312" w:eastAsia="仿宋_GB2312" w:cs="宋体" w:hint="eastAsia"/>
                <w:color w:val="000000"/>
                <w:kern w:val="0"/>
                <w:sz w:val="15"/>
                <w:szCs w:val="15"/>
              </w:rPr>
              <w:t>及以上，</w:t>
            </w:r>
            <w:r>
              <w:rPr>
                <w:rFonts w:ascii="仿宋_GB2312" w:eastAsia="仿宋_GB2312" w:cs="宋体"/>
                <w:color w:val="000000"/>
                <w:kern w:val="0"/>
                <w:sz w:val="15"/>
                <w:szCs w:val="15"/>
              </w:rPr>
              <w:t>或</w:t>
            </w:r>
            <w:r>
              <w:rPr>
                <w:rFonts w:ascii="仿宋_GB2312" w:eastAsia="仿宋_GB2312" w:cs="宋体" w:hint="eastAsia"/>
                <w:color w:val="000000"/>
                <w:kern w:val="0"/>
                <w:sz w:val="15"/>
                <w:szCs w:val="15"/>
              </w:rPr>
              <w:t>珍贵树种1000亩</w:t>
            </w:r>
            <w:r>
              <w:rPr>
                <w:rFonts w:ascii="仿宋_GB2312" w:eastAsia="仿宋_GB2312" w:cs="宋体"/>
                <w:color w:val="000000"/>
                <w:kern w:val="0"/>
                <w:sz w:val="15"/>
                <w:szCs w:val="15"/>
              </w:rPr>
              <w:t>及</w:t>
            </w:r>
            <w:r>
              <w:rPr>
                <w:rFonts w:ascii="仿宋_GB2312" w:eastAsia="仿宋_GB2312" w:cs="宋体" w:hint="eastAsia"/>
                <w:color w:val="000000"/>
                <w:kern w:val="0"/>
                <w:sz w:val="15"/>
                <w:szCs w:val="15"/>
              </w:rPr>
              <w:t>以上，</w:t>
            </w:r>
            <w:r>
              <w:rPr>
                <w:rFonts w:ascii="仿宋_GB2312" w:eastAsia="仿宋_GB2312" w:cs="宋体"/>
                <w:color w:val="000000"/>
                <w:kern w:val="0"/>
                <w:sz w:val="15"/>
                <w:szCs w:val="15"/>
              </w:rPr>
              <w:t>或</w:t>
            </w:r>
            <w:r>
              <w:rPr>
                <w:rFonts w:ascii="仿宋_GB2312" w:eastAsia="仿宋_GB2312" w:cs="宋体" w:hint="eastAsia"/>
                <w:color w:val="000000"/>
                <w:kern w:val="0"/>
                <w:sz w:val="15"/>
                <w:szCs w:val="15"/>
              </w:rPr>
              <w:t>商品林种植1万</w:t>
            </w:r>
            <w:r>
              <w:rPr>
                <w:rFonts w:ascii="仿宋_GB2312" w:eastAsia="仿宋_GB2312" w:cs="宋体"/>
                <w:color w:val="000000"/>
                <w:kern w:val="0"/>
                <w:sz w:val="15"/>
                <w:szCs w:val="15"/>
              </w:rPr>
              <w:t>亩及以上，或林木种苗、花卉培育</w:t>
            </w:r>
            <w:r>
              <w:rPr>
                <w:rFonts w:ascii="仿宋_GB2312" w:eastAsia="仿宋_GB2312" w:cs="宋体" w:hint="eastAsia"/>
                <w:color w:val="000000"/>
                <w:kern w:val="0"/>
                <w:sz w:val="15"/>
                <w:szCs w:val="15"/>
              </w:rPr>
              <w:t>等其他种植</w:t>
            </w:r>
            <w:r>
              <w:rPr>
                <w:rFonts w:ascii="仿宋_GB2312" w:eastAsia="仿宋_GB2312" w:cs="宋体"/>
                <w:color w:val="000000"/>
                <w:kern w:val="0"/>
                <w:sz w:val="15"/>
                <w:szCs w:val="15"/>
              </w:rPr>
              <w:t>面积</w:t>
            </w:r>
            <w:r>
              <w:rPr>
                <w:rFonts w:ascii="仿宋_GB2312" w:eastAsia="仿宋_GB2312" w:cs="宋体" w:hint="eastAsia"/>
                <w:color w:val="000000"/>
                <w:kern w:val="0"/>
                <w:sz w:val="15"/>
                <w:szCs w:val="15"/>
              </w:rPr>
              <w:t>3</w:t>
            </w:r>
            <w:r>
              <w:rPr>
                <w:rFonts w:ascii="仿宋_GB2312" w:eastAsia="仿宋_GB2312" w:cs="宋体"/>
                <w:color w:val="000000"/>
                <w:kern w:val="0"/>
                <w:sz w:val="15"/>
                <w:szCs w:val="15"/>
              </w:rPr>
              <w:t>00亩及以上计10分</w:t>
            </w:r>
            <w:r>
              <w:rPr>
                <w:rFonts w:ascii="仿宋_GB2312" w:eastAsia="仿宋_GB2312" w:cs="宋体" w:hint="eastAsia"/>
                <w:color w:val="000000"/>
                <w:kern w:val="0"/>
                <w:sz w:val="15"/>
                <w:szCs w:val="15"/>
              </w:rPr>
              <w:t>，</w:t>
            </w:r>
            <w:r>
              <w:rPr>
                <w:rFonts w:ascii="仿宋_GB2312" w:eastAsia="仿宋_GB2312" w:cs="宋体"/>
                <w:color w:val="000000"/>
                <w:kern w:val="0"/>
                <w:sz w:val="15"/>
                <w:szCs w:val="15"/>
              </w:rPr>
              <w:t>达不到的计0分。</w:t>
            </w:r>
          </w:p>
        </w:tc>
        <w:tc>
          <w:tcPr>
            <w:tcW w:w="1932" w:type="dxa"/>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1.木</w:t>
            </w:r>
            <w:r>
              <w:rPr>
                <w:rFonts w:ascii="仿宋_GB2312" w:eastAsia="仿宋_GB2312" w:cs="宋体" w:hint="eastAsia"/>
                <w:color w:val="000000"/>
                <w:kern w:val="0"/>
                <w:sz w:val="15"/>
                <w:szCs w:val="15"/>
              </w:rPr>
              <w:t>竹</w:t>
            </w:r>
            <w:r>
              <w:rPr>
                <w:rFonts w:ascii="仿宋_GB2312" w:eastAsia="仿宋_GB2312" w:cs="宋体"/>
                <w:color w:val="000000"/>
                <w:kern w:val="0"/>
                <w:sz w:val="15"/>
                <w:szCs w:val="15"/>
              </w:rPr>
              <w:t>材加工利用企业：造林面积在</w:t>
            </w:r>
            <w:r>
              <w:rPr>
                <w:rFonts w:ascii="仿宋_GB2312" w:eastAsia="仿宋_GB2312" w:cs="宋体" w:hint="eastAsia"/>
                <w:color w:val="000000"/>
                <w:kern w:val="0"/>
                <w:sz w:val="15"/>
                <w:szCs w:val="15"/>
              </w:rPr>
              <w:t>1</w:t>
            </w:r>
            <w:r>
              <w:rPr>
                <w:rFonts w:ascii="仿宋_GB2312" w:eastAsia="仿宋_GB2312" w:cs="宋体"/>
                <w:color w:val="000000"/>
                <w:kern w:val="0"/>
                <w:sz w:val="15"/>
                <w:szCs w:val="15"/>
              </w:rPr>
              <w:t>万亩及以上计10分</w:t>
            </w:r>
            <w:r>
              <w:rPr>
                <w:rFonts w:ascii="仿宋_GB2312" w:eastAsia="仿宋_GB2312" w:cs="宋体" w:hint="eastAsia"/>
                <w:color w:val="000000"/>
                <w:kern w:val="0"/>
                <w:sz w:val="15"/>
                <w:szCs w:val="15"/>
              </w:rPr>
              <w:t>，每减少100</w:t>
            </w:r>
            <w:r>
              <w:rPr>
                <w:rFonts w:ascii="仿宋_GB2312" w:eastAsia="仿宋_GB2312" w:cs="宋体"/>
                <w:color w:val="000000"/>
                <w:kern w:val="0"/>
                <w:sz w:val="15"/>
                <w:szCs w:val="15"/>
              </w:rPr>
              <w:t>0</w:t>
            </w:r>
            <w:r>
              <w:rPr>
                <w:rFonts w:ascii="仿宋_GB2312" w:eastAsia="仿宋_GB2312" w:cs="宋体" w:hint="eastAsia"/>
                <w:color w:val="000000"/>
                <w:kern w:val="0"/>
                <w:sz w:val="15"/>
                <w:szCs w:val="15"/>
              </w:rPr>
              <w:t>亩扣1</w:t>
            </w:r>
            <w:r>
              <w:rPr>
                <w:rFonts w:ascii="仿宋_GB2312" w:eastAsia="仿宋_GB2312" w:cs="宋体"/>
                <w:color w:val="000000"/>
                <w:kern w:val="0"/>
                <w:sz w:val="15"/>
                <w:szCs w:val="15"/>
              </w:rPr>
              <w:t>分</w:t>
            </w:r>
            <w:r>
              <w:rPr>
                <w:rFonts w:ascii="仿宋_GB2312" w:eastAsia="仿宋_GB2312" w:cs="宋体" w:hint="eastAsia"/>
                <w:color w:val="000000"/>
                <w:kern w:val="0"/>
                <w:sz w:val="15"/>
                <w:szCs w:val="15"/>
              </w:rPr>
              <w:t>，扣分最高不超过10分</w:t>
            </w:r>
            <w:r>
              <w:rPr>
                <w:rFonts w:ascii="仿宋_GB2312" w:eastAsia="仿宋_GB2312" w:cs="宋体"/>
                <w:color w:val="000000"/>
                <w:kern w:val="0"/>
                <w:sz w:val="15"/>
                <w:szCs w:val="15"/>
              </w:rPr>
              <w:t>。</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有固定的交易场地或林产品运输、贮藏设施。达到其中一项计</w:t>
            </w:r>
            <w:r>
              <w:rPr>
                <w:rFonts w:ascii="仿宋_GB2312" w:eastAsia="仿宋_GB2312" w:cs="宋体"/>
                <w:color w:val="000000"/>
                <w:kern w:val="0"/>
                <w:sz w:val="15"/>
                <w:szCs w:val="15"/>
              </w:rPr>
              <w:t>5分，达到两项计10分。</w:t>
            </w:r>
          </w:p>
        </w:tc>
        <w:tc>
          <w:tcPr>
            <w:tcW w:w="2167" w:type="dxa"/>
            <w:vMerge w:val="restart"/>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经营总面积</w:t>
            </w:r>
            <w:r>
              <w:rPr>
                <w:rFonts w:ascii="仿宋_GB2312" w:eastAsia="仿宋_GB2312" w:cs="宋体"/>
                <w:color w:val="000000"/>
                <w:kern w:val="0"/>
                <w:sz w:val="15"/>
                <w:szCs w:val="15"/>
              </w:rPr>
              <w:t>3000亩以上计10分，达不到的计0分。</w:t>
            </w:r>
          </w:p>
        </w:tc>
        <w:tc>
          <w:tcPr>
            <w:tcW w:w="2783"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hint="eastAsia"/>
                <w:color w:val="000000"/>
                <w:kern w:val="0"/>
                <w:sz w:val="15"/>
                <w:szCs w:val="15"/>
              </w:rPr>
              <w:t>办公面积在</w:t>
            </w:r>
            <w:r>
              <w:rPr>
                <w:rFonts w:ascii="仿宋_GB2312" w:eastAsia="仿宋_GB2312" w:cs="宋体"/>
                <w:color w:val="000000"/>
                <w:kern w:val="0"/>
                <w:sz w:val="15"/>
                <w:szCs w:val="15"/>
              </w:rPr>
              <w:t>500平方米及以上的，计10分；200-500平方米（含200平方米）的，计</w:t>
            </w:r>
            <w:r>
              <w:rPr>
                <w:rFonts w:ascii="仿宋_GB2312" w:eastAsia="仿宋_GB2312" w:cs="宋体" w:hint="eastAsia"/>
                <w:color w:val="000000"/>
                <w:kern w:val="0"/>
                <w:sz w:val="15"/>
                <w:szCs w:val="15"/>
              </w:rPr>
              <w:t>6</w:t>
            </w:r>
            <w:r>
              <w:rPr>
                <w:rFonts w:ascii="仿宋_GB2312" w:eastAsia="仿宋_GB2312" w:cs="宋体"/>
                <w:color w:val="000000"/>
                <w:kern w:val="0"/>
                <w:sz w:val="15"/>
                <w:szCs w:val="15"/>
              </w:rPr>
              <w:t>分；200平方米以下的，计</w:t>
            </w:r>
            <w:r>
              <w:rPr>
                <w:rFonts w:ascii="仿宋_GB2312" w:eastAsia="仿宋_GB2312" w:cs="宋体" w:hint="eastAsia"/>
                <w:color w:val="000000"/>
                <w:kern w:val="0"/>
                <w:sz w:val="15"/>
                <w:szCs w:val="15"/>
              </w:rPr>
              <w:t>3</w:t>
            </w:r>
            <w:r>
              <w:rPr>
                <w:rFonts w:ascii="仿宋_GB2312" w:eastAsia="仿宋_GB2312" w:cs="宋体"/>
                <w:color w:val="000000"/>
                <w:kern w:val="0"/>
                <w:sz w:val="15"/>
                <w:szCs w:val="15"/>
              </w:rPr>
              <w:t>分。</w:t>
            </w:r>
          </w:p>
        </w:tc>
        <w:tc>
          <w:tcPr>
            <w:tcW w:w="1391"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cs="宋体"/>
                <w:color w:val="000000"/>
                <w:kern w:val="0"/>
                <w:sz w:val="15"/>
                <w:szCs w:val="15"/>
              </w:rPr>
            </w:pPr>
            <w:r>
              <w:rPr>
                <w:rFonts w:ascii="仿宋_GB2312" w:eastAsia="仿宋_GB2312" w:cs="宋体" w:hint="eastAsia"/>
                <w:color w:val="000000"/>
                <w:kern w:val="0"/>
                <w:sz w:val="15"/>
                <w:szCs w:val="15"/>
              </w:rPr>
              <w:t>以企业的产权证明或企业与有关单位签订的土地或设施使用合同、协议为准。不在此项规定范围内的其他企业，须提供与其生产规模相当的生产基地证明。</w:t>
            </w:r>
          </w:p>
        </w:tc>
      </w:tr>
      <w:tr>
        <w:trPr>
          <w:trHeight w:val="1155"/>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nil"/>
              <w:right w:val="single" w:sz="4" w:space="0" w:color="000000"/>
            </w:tcBorders>
            <w:vAlign w:val="center"/>
          </w:tcPr>
          <w:p/>
        </w:tc>
        <w:tc>
          <w:tcPr>
            <w:tcW w:w="2417" w:type="dxa"/>
            <w:gridSpan w:val="2"/>
            <w:tcBorders>
              <w:top w:val="single" w:sz="4" w:space="0" w:color="auto"/>
              <w:left w:val="nil"/>
              <w:bottom w:val="nil"/>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 xml:space="preserve">2.野生动物养殖企业：有野生动物养殖许可证，有规范的养殖基地计10分，达不到的计0分。        </w:t>
            </w:r>
          </w:p>
        </w:tc>
        <w:tc>
          <w:tcPr>
            <w:tcW w:w="1932" w:type="dxa"/>
            <w:vMerge w:val="restart"/>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2.林产品加工企业：有符合</w:t>
            </w:r>
            <w:r>
              <w:rPr>
                <w:rFonts w:ascii="仿宋_GB2312" w:eastAsia="仿宋_GB2312" w:cs="宋体" w:hint="eastAsia"/>
                <w:color w:val="000000"/>
                <w:kern w:val="0"/>
                <w:sz w:val="15"/>
                <w:szCs w:val="15"/>
              </w:rPr>
              <w:t>省级以上</w:t>
            </w:r>
            <w:r>
              <w:rPr>
                <w:rFonts w:ascii="仿宋_GB2312" w:eastAsia="仿宋_GB2312" w:cs="宋体"/>
                <w:color w:val="000000"/>
                <w:kern w:val="0"/>
                <w:sz w:val="15"/>
                <w:szCs w:val="15"/>
              </w:rPr>
              <w:t>环保标准、食品加工卫生标准的加工基地或生产设施。达到</w:t>
            </w:r>
            <w:r>
              <w:rPr>
                <w:rFonts w:ascii="仿宋_GB2312" w:eastAsia="仿宋_GB2312" w:cs="宋体" w:hint="eastAsia"/>
                <w:color w:val="000000"/>
                <w:kern w:val="0"/>
                <w:sz w:val="15"/>
                <w:szCs w:val="15"/>
              </w:rPr>
              <w:t>其中</w:t>
            </w:r>
            <w:r>
              <w:rPr>
                <w:rFonts w:ascii="仿宋_GB2312" w:eastAsia="仿宋_GB2312" w:cs="宋体"/>
                <w:color w:val="000000"/>
                <w:kern w:val="0"/>
                <w:sz w:val="15"/>
                <w:szCs w:val="15"/>
              </w:rPr>
              <w:t>一项计5分，达到两项计10分。</w:t>
            </w:r>
          </w:p>
        </w:tc>
        <w:tc>
          <w:tcPr>
            <w:tcW w:w="2552" w:type="dxa"/>
            <w:vMerge/>
            <w:tcBorders>
              <w:top w:val="single" w:sz="4" w:space="0" w:color="auto"/>
              <w:left w:val="single" w:sz="4" w:space="0" w:color="auto"/>
              <w:bottom w:val="single" w:sz="4" w:space="0" w:color="000000"/>
              <w:right w:val="single" w:sz="4" w:space="0" w:color="auto"/>
            </w:tcBorders>
            <w:vAlign w:val="center"/>
          </w:tcPr>
          <w:p/>
        </w:tc>
        <w:tc>
          <w:tcPr>
            <w:tcW w:w="2167" w:type="dxa"/>
            <w:vMerge/>
            <w:tcBorders>
              <w:top w:val="single" w:sz="4" w:space="0" w:color="auto"/>
              <w:left w:val="single" w:sz="4" w:space="0" w:color="auto"/>
              <w:bottom w:val="single" w:sz="4" w:space="0" w:color="000000"/>
              <w:right w:val="single" w:sz="4" w:space="0" w:color="auto"/>
            </w:tcBorders>
            <w:vAlign w:val="center"/>
          </w:tcPr>
          <w:p/>
        </w:tc>
        <w:tc>
          <w:tcPr>
            <w:tcW w:w="2783" w:type="dxa"/>
            <w:gridSpan w:val="2"/>
            <w:vMerge/>
            <w:tcBorders>
              <w:top w:val="single" w:sz="4" w:space="0" w:color="auto"/>
              <w:left w:val="single" w:sz="4" w:space="0" w:color="auto"/>
              <w:bottom w:val="single" w:sz="4" w:space="0" w:color="000000"/>
              <w:right w:val="single" w:sz="4" w:space="0" w:color="auto"/>
            </w:tcBorders>
            <w:vAlign w:val="center"/>
          </w:tcPr>
          <w:p/>
        </w:tc>
        <w:tc>
          <w:tcPr>
            <w:tcW w:w="1391" w:type="dxa"/>
            <w:vMerge/>
            <w:tcBorders>
              <w:top w:val="single" w:sz="4" w:space="0" w:color="auto"/>
              <w:left w:val="single" w:sz="4" w:space="0" w:color="auto"/>
              <w:bottom w:val="nil"/>
              <w:right w:val="single" w:sz="4" w:space="0" w:color="auto"/>
            </w:tcBorders>
            <w:vAlign w:val="center"/>
          </w:tcPr>
          <w:p/>
        </w:tc>
      </w:tr>
      <w:tr>
        <w:trPr>
          <w:trHeight w:val="780"/>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nil"/>
              <w:right w:val="single" w:sz="4" w:space="0" w:color="000000"/>
            </w:tcBorders>
            <w:vAlign w:val="center"/>
          </w:tcPr>
          <w:p/>
        </w:tc>
        <w:tc>
          <w:tcPr>
            <w:tcW w:w="2417" w:type="dxa"/>
            <w:gridSpan w:val="2"/>
            <w:tcBorders>
              <w:top w:val="single" w:sz="4" w:space="0" w:color="auto"/>
              <w:left w:val="nil"/>
              <w:bottom w:val="nil"/>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 xml:space="preserve"> 3.林下动植物培育企业：基地面积</w:t>
            </w:r>
            <w:r>
              <w:rPr>
                <w:rFonts w:ascii="仿宋_GB2312" w:eastAsia="仿宋_GB2312" w:cs="宋体" w:hint="eastAsia"/>
                <w:color w:val="000000"/>
                <w:kern w:val="0"/>
                <w:sz w:val="15"/>
                <w:szCs w:val="15"/>
              </w:rPr>
              <w:t>3</w:t>
            </w:r>
            <w:r>
              <w:rPr>
                <w:rFonts w:ascii="仿宋_GB2312" w:eastAsia="仿宋_GB2312" w:cs="宋体"/>
                <w:color w:val="000000"/>
                <w:kern w:val="0"/>
                <w:sz w:val="15"/>
                <w:szCs w:val="15"/>
              </w:rPr>
              <w:t>00亩及以上计10分</w:t>
            </w:r>
            <w:r>
              <w:rPr>
                <w:rFonts w:ascii="仿宋_GB2312" w:eastAsia="仿宋_GB2312" w:cs="宋体" w:hint="eastAsia"/>
                <w:color w:val="000000"/>
                <w:kern w:val="0"/>
                <w:sz w:val="15"/>
                <w:szCs w:val="15"/>
              </w:rPr>
              <w:t>，</w:t>
            </w:r>
            <w:r>
              <w:rPr>
                <w:rFonts w:ascii="仿宋_GB2312" w:eastAsia="仿宋_GB2312" w:cs="宋体"/>
                <w:color w:val="000000"/>
                <w:kern w:val="0"/>
                <w:sz w:val="15"/>
                <w:szCs w:val="15"/>
              </w:rPr>
              <w:t>达不到的计0分。</w:t>
            </w:r>
          </w:p>
        </w:tc>
        <w:tc>
          <w:tcPr>
            <w:tcW w:w="1932" w:type="dxa"/>
            <w:vMerge/>
            <w:tcBorders>
              <w:top w:val="single" w:sz="4" w:space="0" w:color="auto"/>
              <w:left w:val="single" w:sz="4" w:space="0" w:color="auto"/>
              <w:bottom w:val="single" w:sz="4" w:space="0" w:color="000000"/>
              <w:right w:val="single" w:sz="4" w:space="0" w:color="auto"/>
            </w:tcBorders>
            <w:vAlign w:val="center"/>
          </w:tcPr>
          <w:p/>
        </w:tc>
        <w:tc>
          <w:tcPr>
            <w:tcW w:w="2552" w:type="dxa"/>
            <w:vMerge/>
            <w:tcBorders>
              <w:top w:val="nil"/>
              <w:left w:val="single" w:sz="4" w:space="0" w:color="auto"/>
              <w:bottom w:val="single" w:sz="4" w:space="0" w:color="000000"/>
              <w:right w:val="single" w:sz="4" w:space="0" w:color="auto"/>
            </w:tcBorders>
            <w:vAlign w:val="center"/>
          </w:tcPr>
          <w:p/>
        </w:tc>
        <w:tc>
          <w:tcPr>
            <w:tcW w:w="2167" w:type="dxa"/>
            <w:vMerge/>
            <w:tcBorders>
              <w:top w:val="nil"/>
              <w:left w:val="single" w:sz="4" w:space="0" w:color="auto"/>
              <w:bottom w:val="single" w:sz="4" w:space="0" w:color="000000"/>
              <w:right w:val="single" w:sz="4" w:space="0" w:color="auto"/>
            </w:tcBorders>
            <w:vAlign w:val="center"/>
          </w:tcPr>
          <w:p/>
        </w:tc>
        <w:tc>
          <w:tcPr>
            <w:tcW w:w="2783" w:type="dxa"/>
            <w:gridSpan w:val="2"/>
            <w:vMerge/>
            <w:tcBorders>
              <w:top w:val="nil"/>
              <w:left w:val="single" w:sz="4" w:space="0" w:color="auto"/>
              <w:bottom w:val="single" w:sz="4" w:space="0" w:color="000000"/>
              <w:right w:val="single" w:sz="4" w:space="0" w:color="auto"/>
            </w:tcBorders>
            <w:vAlign w:val="center"/>
          </w:tcPr>
          <w:p/>
        </w:tc>
        <w:tc>
          <w:tcPr>
            <w:tcW w:w="1391" w:type="dxa"/>
            <w:vMerge/>
            <w:tcBorders>
              <w:top w:val="nil"/>
              <w:left w:val="single" w:sz="4" w:space="0" w:color="auto"/>
              <w:bottom w:val="nil"/>
              <w:right w:val="single" w:sz="4" w:space="0" w:color="auto"/>
            </w:tcBorders>
            <w:vAlign w:val="center"/>
          </w:tcPr>
          <w:p/>
        </w:tc>
      </w:tr>
      <w:tr>
        <w:trPr>
          <w:trHeight w:val="420"/>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企业产品竞争力（15</w:t>
            </w:r>
            <w:r>
              <w:rPr>
                <w:rFonts w:ascii="仿宋_GB2312" w:eastAsia="仿宋_GB2312" w:cs="宋体"/>
                <w:color w:val="000000"/>
                <w:kern w:val="0"/>
                <w:szCs w:val="21"/>
              </w:rPr>
              <w:t>分）</w:t>
            </w:r>
          </w:p>
        </w:tc>
        <w:tc>
          <w:tcPr>
            <w:tcW w:w="11851" w:type="dxa"/>
            <w:gridSpan w:val="7"/>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1.企业质量管理体系认证、环保达标评定证明、职业安全与卫生管理体系认证</w:t>
            </w:r>
            <w:r>
              <w:rPr>
                <w:rFonts w:ascii="仿宋_GB2312" w:eastAsia="仿宋_GB2312" w:cs="宋体" w:hint="eastAsia"/>
                <w:color w:val="000000"/>
                <w:kern w:val="0"/>
                <w:sz w:val="15"/>
                <w:szCs w:val="15"/>
              </w:rPr>
              <w:t>、森林认证、市级林业龙头企业</w:t>
            </w:r>
            <w:r>
              <w:rPr>
                <w:rFonts w:ascii="仿宋_GB2312" w:eastAsia="仿宋_GB2312" w:cs="宋体"/>
                <w:color w:val="000000"/>
                <w:kern w:val="0"/>
                <w:sz w:val="15"/>
                <w:szCs w:val="15"/>
              </w:rPr>
              <w:t>等，有其中一项的计</w:t>
            </w:r>
            <w:r>
              <w:rPr>
                <w:rFonts w:ascii="仿宋_GB2312" w:eastAsia="仿宋_GB2312" w:cs="宋体" w:hint="eastAsia"/>
                <w:color w:val="000000"/>
                <w:kern w:val="0"/>
                <w:sz w:val="15"/>
                <w:szCs w:val="15"/>
              </w:rPr>
              <w:t>1</w:t>
            </w:r>
            <w:r>
              <w:rPr>
                <w:rFonts w:ascii="仿宋_GB2312" w:eastAsia="仿宋_GB2312" w:cs="宋体"/>
                <w:color w:val="000000"/>
                <w:kern w:val="0"/>
                <w:sz w:val="15"/>
                <w:szCs w:val="15"/>
              </w:rPr>
              <w:t>分，没有的计0分。</w:t>
            </w:r>
          </w:p>
        </w:tc>
        <w:tc>
          <w:tcPr>
            <w:tcW w:w="1391"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cs="宋体"/>
                <w:color w:val="000000"/>
                <w:kern w:val="0"/>
                <w:sz w:val="15"/>
                <w:szCs w:val="15"/>
              </w:rPr>
            </w:pPr>
            <w:r>
              <w:rPr>
                <w:rFonts w:ascii="仿宋_GB2312" w:eastAsia="仿宋_GB2312" w:cs="宋体" w:hint="eastAsia"/>
                <w:color w:val="000000"/>
                <w:kern w:val="0"/>
                <w:sz w:val="15"/>
                <w:szCs w:val="15"/>
              </w:rPr>
              <w:t>以企业提供的有效证明材料为准。</w:t>
            </w:r>
          </w:p>
        </w:tc>
      </w:tr>
      <w:tr>
        <w:trPr>
          <w:trHeight w:val="390"/>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single" w:sz="4" w:space="0" w:color="auto"/>
              <w:right w:val="single" w:sz="4" w:space="0" w:color="auto"/>
            </w:tcBorders>
            <w:vAlign w:val="center"/>
          </w:tcPr>
          <w:p/>
        </w:tc>
        <w:tc>
          <w:tcPr>
            <w:tcW w:w="11851" w:type="dxa"/>
            <w:gridSpan w:val="7"/>
            <w:tcBorders>
              <w:top w:val="single" w:sz="4" w:space="0" w:color="auto"/>
              <w:left w:val="nil"/>
              <w:bottom w:val="single" w:sz="4" w:space="0" w:color="auto"/>
              <w:right w:val="single" w:sz="4" w:space="0" w:color="000000"/>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2.</w:t>
            </w:r>
            <w:r>
              <w:rPr>
                <w:rFonts w:ascii="仿宋_GB2312" w:eastAsia="仿宋_GB2312" w:cs="宋体" w:hint="eastAsia"/>
                <w:color w:val="000000"/>
                <w:kern w:val="0"/>
                <w:sz w:val="15"/>
                <w:szCs w:val="15"/>
              </w:rPr>
              <w:t>具有市场监管部门颁发的“守合同、重信用”证书，连续5年以上的，计4分，连续5年以下的计2分，没有的计0分。</w:t>
            </w:r>
          </w:p>
        </w:tc>
        <w:tc>
          <w:tcPr>
            <w:tcW w:w="1391" w:type="dxa"/>
            <w:vMerge/>
            <w:tcBorders>
              <w:top w:val="single" w:sz="4" w:space="0" w:color="auto"/>
              <w:left w:val="single" w:sz="4" w:space="0" w:color="auto"/>
              <w:bottom w:val="single" w:sz="4" w:space="0" w:color="000000"/>
              <w:right w:val="single" w:sz="4" w:space="0" w:color="auto"/>
            </w:tcBorders>
            <w:vAlign w:val="center"/>
          </w:tcPr>
          <w:p/>
        </w:tc>
      </w:tr>
      <w:tr>
        <w:trPr>
          <w:trHeight w:val="555"/>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single" w:sz="4" w:space="0" w:color="auto"/>
              <w:right w:val="single" w:sz="4" w:space="0" w:color="auto"/>
            </w:tcBorders>
            <w:vAlign w:val="center"/>
          </w:tcPr>
          <w:p/>
        </w:tc>
        <w:tc>
          <w:tcPr>
            <w:tcW w:w="6901" w:type="dxa"/>
            <w:gridSpan w:val="4"/>
            <w:tcBorders>
              <w:top w:val="single" w:sz="4" w:space="0" w:color="auto"/>
              <w:left w:val="nil"/>
              <w:bottom w:val="single" w:sz="4" w:space="0" w:color="auto"/>
              <w:right w:val="single" w:sz="4" w:space="0" w:color="000000"/>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3.</w:t>
            </w:r>
            <w:r>
              <w:rPr>
                <w:rFonts w:ascii="仿宋_GB2312" w:eastAsia="仿宋_GB2312" w:cs="宋体" w:hint="eastAsia"/>
                <w:color w:val="000000"/>
                <w:kern w:val="0"/>
                <w:sz w:val="15"/>
                <w:szCs w:val="15"/>
              </w:rPr>
              <w:t>森林生态标志产品证书、</w:t>
            </w:r>
            <w:r>
              <w:rPr>
                <w:rFonts w:ascii="仿宋_GB2312" w:eastAsia="仿宋_GB2312" w:cs="宋体"/>
                <w:color w:val="000000"/>
                <w:kern w:val="0"/>
                <w:sz w:val="15"/>
                <w:szCs w:val="15"/>
              </w:rPr>
              <w:t>林(农）产品原产地证明、无公害证书、绿色食品证书、有机食品证书，有其中一项的计</w:t>
            </w:r>
            <w:r>
              <w:rPr>
                <w:rFonts w:ascii="仿宋_GB2312" w:eastAsia="仿宋_GB2312" w:cs="宋体" w:hint="eastAsia"/>
                <w:color w:val="000000"/>
                <w:kern w:val="0"/>
                <w:sz w:val="15"/>
                <w:szCs w:val="15"/>
              </w:rPr>
              <w:t>1</w:t>
            </w:r>
            <w:r>
              <w:rPr>
                <w:rFonts w:ascii="仿宋_GB2312" w:eastAsia="仿宋_GB2312" w:cs="宋体"/>
                <w:color w:val="000000"/>
                <w:kern w:val="0"/>
                <w:sz w:val="15"/>
                <w:szCs w:val="15"/>
              </w:rPr>
              <w:t>分，没有的计0分。</w:t>
            </w:r>
          </w:p>
        </w:tc>
        <w:tc>
          <w:tcPr>
            <w:tcW w:w="2167" w:type="dxa"/>
            <w:vMerge w:val="restart"/>
            <w:tcBorders>
              <w:top w:val="nil"/>
              <w:left w:val="single" w:sz="4" w:space="0" w:color="auto"/>
              <w:bottom w:val="nil"/>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3.年接待游客量达15万人次以上的计</w:t>
            </w:r>
            <w:r>
              <w:rPr>
                <w:rFonts w:ascii="仿宋_GB2312" w:eastAsia="仿宋_GB2312" w:cs="宋体" w:hint="eastAsia"/>
                <w:color w:val="000000"/>
                <w:kern w:val="0"/>
                <w:sz w:val="15"/>
                <w:szCs w:val="15"/>
              </w:rPr>
              <w:t>3</w:t>
            </w:r>
            <w:r>
              <w:rPr>
                <w:rFonts w:ascii="仿宋_GB2312" w:eastAsia="仿宋_GB2312" w:cs="宋体"/>
                <w:color w:val="000000"/>
                <w:kern w:val="0"/>
                <w:sz w:val="15"/>
                <w:szCs w:val="15"/>
              </w:rPr>
              <w:t>分，没有的计0分。</w:t>
            </w:r>
          </w:p>
        </w:tc>
        <w:tc>
          <w:tcPr>
            <w:tcW w:w="2783" w:type="dxa"/>
            <w:gridSpan w:val="2"/>
            <w:vMerge w:val="restart"/>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3.有林业服务行业相关的乙级以上资质证书的计4分，没有的计0分。</w:t>
            </w:r>
          </w:p>
        </w:tc>
        <w:tc>
          <w:tcPr>
            <w:tcW w:w="1391" w:type="dxa"/>
            <w:vMerge/>
            <w:tcBorders>
              <w:top w:val="single" w:sz="4" w:space="0" w:color="auto"/>
              <w:left w:val="single" w:sz="4" w:space="0" w:color="auto"/>
              <w:bottom w:val="single" w:sz="4" w:space="0" w:color="000000"/>
              <w:right w:val="single" w:sz="4" w:space="0" w:color="auto"/>
            </w:tcBorders>
            <w:vAlign w:val="center"/>
          </w:tcPr>
          <w:p/>
        </w:tc>
      </w:tr>
      <w:tr>
        <w:trPr>
          <w:trHeight w:val="345"/>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single" w:sz="4" w:space="0" w:color="auto"/>
              <w:right w:val="single" w:sz="4" w:space="0" w:color="auto"/>
            </w:tcBorders>
            <w:vAlign w:val="center"/>
          </w:tcPr>
          <w:p/>
        </w:tc>
        <w:tc>
          <w:tcPr>
            <w:tcW w:w="6901" w:type="dxa"/>
            <w:gridSpan w:val="4"/>
            <w:tcBorders>
              <w:top w:val="single" w:sz="4" w:space="0" w:color="auto"/>
              <w:left w:val="nil"/>
              <w:bottom w:val="nil"/>
              <w:right w:val="single" w:sz="4" w:space="0" w:color="000000"/>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4.省著名商标证书、国家驰名商标证明文件，有其中一项的计2分，没有的计0分。</w:t>
            </w:r>
          </w:p>
        </w:tc>
        <w:tc>
          <w:tcPr>
            <w:tcW w:w="2167" w:type="dxa"/>
            <w:vMerge/>
            <w:tcBorders>
              <w:top w:val="nil"/>
              <w:left w:val="single" w:sz="4" w:space="0" w:color="auto"/>
              <w:bottom w:val="nil"/>
              <w:right w:val="single" w:sz="4" w:space="0" w:color="auto"/>
            </w:tcBorders>
            <w:vAlign w:val="center"/>
          </w:tcPr>
          <w:p/>
        </w:tc>
        <w:tc>
          <w:tcPr>
            <w:tcW w:w="2783" w:type="dxa"/>
            <w:gridSpan w:val="2"/>
            <w:vMerge/>
            <w:tcBorders>
              <w:top w:val="nil"/>
              <w:left w:val="single" w:sz="4" w:space="0" w:color="auto"/>
              <w:bottom w:val="single" w:sz="4" w:space="0" w:color="auto"/>
              <w:right w:val="single" w:sz="4" w:space="0" w:color="auto"/>
            </w:tcBorders>
            <w:vAlign w:val="center"/>
          </w:tcPr>
          <w:p/>
        </w:tc>
        <w:tc>
          <w:tcPr>
            <w:tcW w:w="1391" w:type="dxa"/>
            <w:vMerge/>
            <w:tcBorders>
              <w:top w:val="single" w:sz="4" w:space="0" w:color="auto"/>
              <w:left w:val="single" w:sz="4" w:space="0" w:color="auto"/>
              <w:bottom w:val="single" w:sz="4" w:space="0" w:color="000000"/>
              <w:right w:val="single" w:sz="4" w:space="0" w:color="auto"/>
            </w:tcBorders>
            <w:vAlign w:val="center"/>
          </w:tcPr>
          <w:p/>
        </w:tc>
      </w:tr>
      <w:tr>
        <w:trPr>
          <w:trHeight w:val="645"/>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single" w:sz="4" w:space="0" w:color="auto"/>
              <w:right w:val="single" w:sz="4" w:space="0" w:color="auto"/>
            </w:tcBorders>
            <w:vAlign w:val="center"/>
          </w:tcPr>
          <w:p/>
        </w:tc>
        <w:tc>
          <w:tcPr>
            <w:tcW w:w="6901" w:type="dxa"/>
            <w:gridSpan w:val="4"/>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5.有省</w:t>
            </w:r>
            <w:r>
              <w:rPr>
                <w:rFonts w:ascii="仿宋_GB2312" w:eastAsia="仿宋_GB2312" w:cs="宋体" w:hint="eastAsia"/>
                <w:color w:val="000000"/>
                <w:kern w:val="0"/>
                <w:sz w:val="15"/>
                <w:szCs w:val="15"/>
              </w:rPr>
              <w:t>级以上</w:t>
            </w:r>
            <w:r>
              <w:rPr>
                <w:rFonts w:ascii="仿宋_GB2312" w:eastAsia="仿宋_GB2312" w:cs="宋体"/>
                <w:color w:val="000000"/>
                <w:kern w:val="0"/>
                <w:sz w:val="15"/>
                <w:szCs w:val="15"/>
              </w:rPr>
              <w:t>名牌产品</w:t>
            </w:r>
            <w:r>
              <w:rPr>
                <w:rFonts w:ascii="仿宋_GB2312" w:eastAsia="仿宋_GB2312" w:cs="宋体" w:hint="eastAsia"/>
                <w:color w:val="000000"/>
                <w:kern w:val="0"/>
                <w:sz w:val="15"/>
                <w:szCs w:val="15"/>
              </w:rPr>
              <w:t>或优质奖</w:t>
            </w:r>
            <w:r>
              <w:rPr>
                <w:rFonts w:ascii="仿宋_GB2312" w:eastAsia="仿宋_GB2312" w:cs="宋体"/>
                <w:color w:val="000000"/>
                <w:kern w:val="0"/>
                <w:sz w:val="15"/>
                <w:szCs w:val="15"/>
              </w:rPr>
              <w:t>证书的</w:t>
            </w:r>
            <w:r>
              <w:rPr>
                <w:rFonts w:ascii="仿宋_GB2312" w:eastAsia="仿宋_GB2312" w:cs="宋体" w:hint="eastAsia"/>
                <w:color w:val="000000"/>
                <w:kern w:val="0"/>
                <w:sz w:val="15"/>
                <w:szCs w:val="15"/>
              </w:rPr>
              <w:t>，有其中一项的</w:t>
            </w:r>
            <w:r>
              <w:rPr>
                <w:rFonts w:ascii="仿宋_GB2312" w:eastAsia="仿宋_GB2312" w:cs="宋体"/>
                <w:color w:val="000000"/>
                <w:kern w:val="0"/>
                <w:sz w:val="15"/>
                <w:szCs w:val="15"/>
              </w:rPr>
              <w:t>计2分，没有的计0分。</w:t>
            </w:r>
          </w:p>
        </w:tc>
        <w:tc>
          <w:tcPr>
            <w:tcW w:w="2167" w:type="dxa"/>
            <w:tcBorders>
              <w:top w:val="single" w:sz="4" w:space="0" w:color="auto"/>
              <w:left w:val="nil"/>
              <w:bottom w:val="single" w:sz="4" w:space="0" w:color="auto"/>
              <w:right w:val="single" w:sz="4" w:space="0" w:color="auto"/>
            </w:tcBorders>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4.有能吸引游客的多种特色项目的，计</w:t>
            </w:r>
            <w:r>
              <w:rPr>
                <w:rFonts w:ascii="仿宋_GB2312" w:eastAsia="仿宋_GB2312" w:cs="宋体" w:hint="eastAsia"/>
                <w:color w:val="000000"/>
                <w:kern w:val="0"/>
                <w:sz w:val="15"/>
                <w:szCs w:val="15"/>
              </w:rPr>
              <w:t>2</w:t>
            </w:r>
            <w:r>
              <w:rPr>
                <w:rFonts w:ascii="仿宋_GB2312" w:eastAsia="仿宋_GB2312" w:cs="宋体"/>
                <w:color w:val="000000"/>
                <w:kern w:val="0"/>
                <w:sz w:val="15"/>
                <w:szCs w:val="15"/>
              </w:rPr>
              <w:t>分，没有的计0分。</w:t>
            </w:r>
          </w:p>
        </w:tc>
        <w:tc>
          <w:tcPr>
            <w:tcW w:w="2783" w:type="dxa"/>
            <w:gridSpan w:val="2"/>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4.被省、部级认定为高科技企业的计</w:t>
            </w:r>
            <w:r>
              <w:rPr>
                <w:rFonts w:ascii="仿宋_GB2312" w:eastAsia="仿宋_GB2312" w:cs="宋体" w:hint="eastAsia"/>
                <w:color w:val="000000"/>
                <w:kern w:val="0"/>
                <w:sz w:val="15"/>
                <w:szCs w:val="15"/>
              </w:rPr>
              <w:t>3</w:t>
            </w:r>
            <w:r>
              <w:rPr>
                <w:rFonts w:ascii="仿宋_GB2312" w:eastAsia="仿宋_GB2312" w:cs="宋体"/>
                <w:color w:val="000000"/>
                <w:kern w:val="0"/>
                <w:sz w:val="15"/>
                <w:szCs w:val="15"/>
              </w:rPr>
              <w:t>分，没有的计0分。</w:t>
            </w:r>
          </w:p>
        </w:tc>
        <w:tc>
          <w:tcPr>
            <w:tcW w:w="1391" w:type="dxa"/>
            <w:vMerge/>
            <w:tcBorders>
              <w:top w:val="single" w:sz="4" w:space="0" w:color="auto"/>
              <w:left w:val="single" w:sz="4" w:space="0" w:color="auto"/>
              <w:bottom w:val="single" w:sz="4" w:space="0" w:color="000000"/>
              <w:right w:val="single" w:sz="4" w:space="0" w:color="auto"/>
            </w:tcBorders>
            <w:vAlign w:val="center"/>
          </w:tcPr>
          <w:p/>
        </w:tc>
      </w:tr>
      <w:tr>
        <w:trPr>
          <w:trHeight w:val="720"/>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single" w:sz="4" w:space="0" w:color="auto"/>
              <w:right w:val="single" w:sz="4" w:space="0" w:color="auto"/>
            </w:tcBorders>
            <w:vAlign w:val="center"/>
          </w:tcPr>
          <w:p/>
        </w:tc>
        <w:tc>
          <w:tcPr>
            <w:tcW w:w="6901" w:type="dxa"/>
            <w:gridSpan w:val="4"/>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6.企业能够按照国家标准、行业标准、地方标准</w:t>
            </w:r>
            <w:r>
              <w:rPr>
                <w:rFonts w:ascii="仿宋_GB2312" w:eastAsia="仿宋_GB2312" w:cs="宋体" w:hint="eastAsia"/>
                <w:color w:val="000000"/>
                <w:kern w:val="0"/>
                <w:sz w:val="15"/>
                <w:szCs w:val="15"/>
              </w:rPr>
              <w:t>实施</w:t>
            </w:r>
            <w:r>
              <w:rPr>
                <w:rFonts w:ascii="仿宋_GB2312" w:eastAsia="仿宋_GB2312" w:cs="宋体"/>
                <w:color w:val="000000"/>
                <w:kern w:val="0"/>
                <w:sz w:val="15"/>
                <w:szCs w:val="15"/>
              </w:rPr>
              <w:t>生产</w:t>
            </w:r>
            <w:r>
              <w:rPr>
                <w:rFonts w:ascii="仿宋_GB2312" w:eastAsia="仿宋_GB2312" w:cs="宋体" w:hint="eastAsia"/>
                <w:color w:val="000000"/>
                <w:kern w:val="0"/>
                <w:sz w:val="15"/>
                <w:szCs w:val="15"/>
              </w:rPr>
              <w:t>，</w:t>
            </w:r>
            <w:r>
              <w:rPr>
                <w:rFonts w:ascii="仿宋_GB2312" w:eastAsia="仿宋_GB2312" w:cs="宋体"/>
                <w:color w:val="000000"/>
                <w:kern w:val="0"/>
                <w:sz w:val="15"/>
                <w:szCs w:val="15"/>
              </w:rPr>
              <w:t>或制定并执行高于国家标准、行业标准、地方标准的企业标准</w:t>
            </w:r>
            <w:r>
              <w:rPr>
                <w:rFonts w:ascii="仿宋_GB2312" w:eastAsia="仿宋_GB2312" w:cs="宋体" w:hint="eastAsia"/>
                <w:color w:val="000000"/>
                <w:kern w:val="0"/>
                <w:sz w:val="15"/>
                <w:szCs w:val="15"/>
              </w:rPr>
              <w:t>或团体标准的</w:t>
            </w:r>
            <w:r>
              <w:rPr>
                <w:rFonts w:ascii="仿宋_GB2312" w:eastAsia="仿宋_GB2312" w:cs="宋体"/>
                <w:color w:val="000000"/>
                <w:kern w:val="0"/>
                <w:sz w:val="15"/>
                <w:szCs w:val="15"/>
              </w:rPr>
              <w:t>，</w:t>
            </w:r>
            <w:r>
              <w:rPr>
                <w:rFonts w:ascii="仿宋_GB2312" w:eastAsia="仿宋_GB2312" w:cs="宋体" w:hint="eastAsia"/>
                <w:color w:val="000000"/>
                <w:kern w:val="0"/>
                <w:sz w:val="15"/>
                <w:szCs w:val="15"/>
              </w:rPr>
              <w:t>有其中一项</w:t>
            </w:r>
            <w:r>
              <w:rPr>
                <w:rFonts w:ascii="仿宋_GB2312" w:eastAsia="仿宋_GB2312" w:cs="宋体"/>
                <w:color w:val="000000"/>
                <w:kern w:val="0"/>
                <w:sz w:val="15"/>
                <w:szCs w:val="15"/>
              </w:rPr>
              <w:t>的计</w:t>
            </w:r>
            <w:r>
              <w:rPr>
                <w:rFonts w:ascii="仿宋_GB2312" w:eastAsia="仿宋_GB2312" w:cs="宋体" w:hint="eastAsia"/>
                <w:color w:val="000000"/>
                <w:kern w:val="0"/>
                <w:sz w:val="15"/>
                <w:szCs w:val="15"/>
              </w:rPr>
              <w:t>1</w:t>
            </w:r>
            <w:r>
              <w:rPr>
                <w:rFonts w:ascii="仿宋_GB2312" w:eastAsia="仿宋_GB2312" w:cs="宋体"/>
                <w:color w:val="000000"/>
                <w:kern w:val="0"/>
                <w:sz w:val="15"/>
                <w:szCs w:val="15"/>
              </w:rPr>
              <w:t>分，没有的计0分。</w:t>
            </w:r>
          </w:p>
        </w:tc>
        <w:tc>
          <w:tcPr>
            <w:tcW w:w="2167" w:type="dxa"/>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5.被评为国家AAA级以上风景旅游区的计5分，没有的计0分。</w:t>
            </w:r>
          </w:p>
        </w:tc>
        <w:tc>
          <w:tcPr>
            <w:tcW w:w="2783" w:type="dxa"/>
            <w:gridSpan w:val="2"/>
            <w:tcBorders>
              <w:top w:val="single" w:sz="4" w:space="0" w:color="auto"/>
              <w:left w:val="nil"/>
              <w:bottom w:val="nil"/>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5.企业有参与编制国家或地方的林业行业的有关规范、标准或规程，并已实施的计</w:t>
            </w:r>
            <w:r>
              <w:rPr>
                <w:rFonts w:ascii="仿宋_GB2312" w:eastAsia="仿宋_GB2312" w:cs="宋体" w:hint="eastAsia"/>
                <w:color w:val="000000"/>
                <w:kern w:val="0"/>
                <w:sz w:val="15"/>
                <w:szCs w:val="15"/>
              </w:rPr>
              <w:t>2</w:t>
            </w:r>
            <w:r>
              <w:rPr>
                <w:rFonts w:ascii="仿宋_GB2312" w:eastAsia="仿宋_GB2312" w:cs="宋体"/>
                <w:color w:val="000000"/>
                <w:kern w:val="0"/>
                <w:sz w:val="15"/>
                <w:szCs w:val="15"/>
              </w:rPr>
              <w:t>分，没有的计0分。</w:t>
            </w:r>
          </w:p>
        </w:tc>
        <w:tc>
          <w:tcPr>
            <w:tcW w:w="1391" w:type="dxa"/>
            <w:vMerge/>
            <w:tcBorders>
              <w:top w:val="single" w:sz="4" w:space="0" w:color="auto"/>
              <w:left w:val="single" w:sz="4" w:space="0" w:color="auto"/>
              <w:bottom w:val="single" w:sz="4" w:space="0" w:color="000000"/>
              <w:right w:val="single" w:sz="4" w:space="0" w:color="auto"/>
            </w:tcBorders>
            <w:vAlign w:val="center"/>
          </w:tcPr>
          <w:p/>
        </w:tc>
      </w:tr>
      <w:tr>
        <w:trPr>
          <w:trHeight w:val="270"/>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single" w:sz="4" w:space="0" w:color="auto"/>
              <w:right w:val="single" w:sz="4" w:space="0" w:color="auto"/>
            </w:tcBorders>
            <w:vAlign w:val="center"/>
          </w:tcPr>
          <w:p/>
        </w:tc>
        <w:tc>
          <w:tcPr>
            <w:tcW w:w="6901" w:type="dxa"/>
            <w:gridSpan w:val="4"/>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7.有专利证书</w:t>
            </w:r>
            <w:r>
              <w:rPr>
                <w:rFonts w:ascii="仿宋_GB2312" w:eastAsia="仿宋_GB2312" w:cs="宋体" w:hint="eastAsia"/>
                <w:color w:val="000000"/>
                <w:kern w:val="0"/>
                <w:sz w:val="15"/>
                <w:szCs w:val="15"/>
              </w:rPr>
              <w:t>、植物新品种权证，有其中一项</w:t>
            </w:r>
            <w:r>
              <w:rPr>
                <w:rFonts w:ascii="仿宋_GB2312" w:eastAsia="仿宋_GB2312" w:cs="宋体"/>
                <w:color w:val="000000"/>
                <w:kern w:val="0"/>
                <w:sz w:val="15"/>
                <w:szCs w:val="15"/>
              </w:rPr>
              <w:t>的计</w:t>
            </w:r>
            <w:r>
              <w:rPr>
                <w:rFonts w:ascii="仿宋_GB2312" w:eastAsia="仿宋_GB2312" w:cs="宋体" w:hint="eastAsia"/>
                <w:color w:val="000000"/>
                <w:kern w:val="0"/>
                <w:sz w:val="15"/>
                <w:szCs w:val="15"/>
              </w:rPr>
              <w:t>2</w:t>
            </w:r>
            <w:r>
              <w:rPr>
                <w:rFonts w:ascii="仿宋_GB2312" w:eastAsia="仿宋_GB2312" w:cs="宋体"/>
                <w:color w:val="000000"/>
                <w:kern w:val="0"/>
                <w:sz w:val="15"/>
                <w:szCs w:val="15"/>
              </w:rPr>
              <w:t>分，没有的计0分。　</w:t>
            </w:r>
          </w:p>
        </w:tc>
        <w:tc>
          <w:tcPr>
            <w:tcW w:w="2167" w:type="dxa"/>
            <w:vMerge w:val="restart"/>
            <w:tcBorders>
              <w:top w:val="nil"/>
              <w:left w:val="single" w:sz="4" w:space="0" w:color="auto"/>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p>
        </w:tc>
        <w:tc>
          <w:tcPr>
            <w:tcW w:w="2783"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6.</w:t>
            </w:r>
            <w:r>
              <w:rPr>
                <w:rFonts w:ascii="仿宋_GB2312" w:eastAsia="仿宋_GB2312" w:cs="宋体" w:hint="eastAsia"/>
                <w:color w:val="000000"/>
                <w:kern w:val="0"/>
                <w:sz w:val="15"/>
                <w:szCs w:val="15"/>
              </w:rPr>
              <w:t xml:space="preserve"> 企业在开发新产品或在创新管理、创新技术、创新服务等方面有突破，企业效益明显提高</w:t>
            </w:r>
            <w:r>
              <w:rPr>
                <w:rFonts w:ascii="仿宋_GB2312" w:eastAsia="仿宋_GB2312" w:cs="宋体"/>
                <w:color w:val="000000"/>
                <w:kern w:val="0"/>
                <w:sz w:val="15"/>
                <w:szCs w:val="15"/>
              </w:rPr>
              <w:t>的计</w:t>
            </w:r>
            <w:r>
              <w:rPr>
                <w:rFonts w:ascii="仿宋_GB2312" w:eastAsia="仿宋_GB2312" w:cs="宋体" w:hint="eastAsia"/>
                <w:color w:val="000000"/>
                <w:kern w:val="0"/>
                <w:sz w:val="15"/>
                <w:szCs w:val="15"/>
              </w:rPr>
              <w:t>1</w:t>
            </w:r>
            <w:r>
              <w:rPr>
                <w:rFonts w:ascii="仿宋_GB2312" w:eastAsia="仿宋_GB2312" w:cs="宋体"/>
                <w:color w:val="000000"/>
                <w:kern w:val="0"/>
                <w:sz w:val="15"/>
                <w:szCs w:val="15"/>
              </w:rPr>
              <w:t>分，没有的计0分。</w:t>
            </w:r>
          </w:p>
        </w:tc>
        <w:tc>
          <w:tcPr>
            <w:tcW w:w="1391" w:type="dxa"/>
            <w:vMerge/>
            <w:tcBorders>
              <w:top w:val="single" w:sz="4" w:space="0" w:color="auto"/>
              <w:left w:val="single" w:sz="4" w:space="0" w:color="auto"/>
              <w:bottom w:val="single" w:sz="4" w:space="0" w:color="000000"/>
              <w:right w:val="single" w:sz="4" w:space="0" w:color="auto"/>
            </w:tcBorders>
            <w:vAlign w:val="center"/>
          </w:tcPr>
          <w:p/>
        </w:tc>
      </w:tr>
      <w:tr>
        <w:trPr>
          <w:trHeight w:val="270"/>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single" w:sz="4" w:space="0" w:color="auto"/>
              <w:right w:val="single" w:sz="4" w:space="0" w:color="auto"/>
            </w:tcBorders>
            <w:vAlign w:val="center"/>
          </w:tcPr>
          <w:p/>
        </w:tc>
        <w:tc>
          <w:tcPr>
            <w:tcW w:w="6901" w:type="dxa"/>
            <w:gridSpan w:val="4"/>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8.有商标注册证的计</w:t>
            </w:r>
            <w:r>
              <w:rPr>
                <w:rFonts w:ascii="仿宋_GB2312" w:eastAsia="仿宋_GB2312" w:cs="宋体" w:hint="eastAsia"/>
                <w:color w:val="000000"/>
                <w:kern w:val="0"/>
                <w:sz w:val="15"/>
                <w:szCs w:val="15"/>
              </w:rPr>
              <w:t>1</w:t>
            </w:r>
            <w:r>
              <w:rPr>
                <w:rFonts w:ascii="仿宋_GB2312" w:eastAsia="仿宋_GB2312" w:cs="宋体"/>
                <w:color w:val="000000"/>
                <w:kern w:val="0"/>
                <w:sz w:val="15"/>
                <w:szCs w:val="15"/>
              </w:rPr>
              <w:t>分，没有的计0分。</w:t>
            </w:r>
          </w:p>
        </w:tc>
        <w:tc>
          <w:tcPr>
            <w:tcW w:w="2167" w:type="dxa"/>
            <w:vMerge/>
            <w:tcBorders>
              <w:top w:val="nil"/>
              <w:left w:val="single" w:sz="4" w:space="0" w:color="auto"/>
              <w:bottom w:val="single" w:sz="4" w:space="0" w:color="auto"/>
              <w:right w:val="single" w:sz="4" w:space="0" w:color="auto"/>
            </w:tcBorders>
            <w:vAlign w:val="center"/>
          </w:tcPr>
          <w:p/>
        </w:tc>
        <w:tc>
          <w:tcPr>
            <w:tcW w:w="2783" w:type="dxa"/>
            <w:gridSpan w:val="2"/>
            <w:vMerge/>
            <w:tcBorders>
              <w:top w:val="single" w:sz="4" w:space="0" w:color="auto"/>
              <w:left w:val="single" w:sz="4" w:space="0" w:color="auto"/>
              <w:bottom w:val="single" w:sz="4" w:space="0" w:color="auto"/>
              <w:right w:val="single" w:sz="4" w:space="0" w:color="auto"/>
            </w:tcBorders>
            <w:vAlign w:val="center"/>
          </w:tcPr>
          <w:p/>
        </w:tc>
        <w:tc>
          <w:tcPr>
            <w:tcW w:w="1391" w:type="dxa"/>
            <w:vMerge/>
            <w:tcBorders>
              <w:top w:val="single" w:sz="4" w:space="0" w:color="auto"/>
              <w:left w:val="single" w:sz="4" w:space="0" w:color="auto"/>
              <w:bottom w:val="single" w:sz="4" w:space="0" w:color="000000"/>
              <w:right w:val="single" w:sz="4" w:space="0" w:color="auto"/>
            </w:tcBorders>
            <w:vAlign w:val="center"/>
          </w:tcPr>
          <w:p/>
        </w:tc>
      </w:tr>
      <w:tr>
        <w:trPr>
          <w:trHeight w:val="495"/>
        </w:trPr>
        <w:tc>
          <w:tcPr>
            <w:tcW w:w="738" w:type="dxa"/>
            <w:vMerge/>
            <w:tcBorders>
              <w:top w:val="single" w:sz="4" w:space="0" w:color="auto"/>
              <w:left w:val="single" w:sz="4" w:space="0" w:color="auto"/>
              <w:bottom w:val="single" w:sz="4" w:space="0" w:color="auto"/>
              <w:right w:val="single" w:sz="4" w:space="0" w:color="auto"/>
            </w:tcBorders>
            <w:vAlign w:val="center"/>
          </w:tcPr>
          <w:p/>
        </w:tc>
        <w:tc>
          <w:tcPr>
            <w:tcW w:w="1662" w:type="dxa"/>
            <w:gridSpan w:val="3"/>
            <w:vMerge/>
            <w:tcBorders>
              <w:top w:val="single" w:sz="4" w:space="0" w:color="auto"/>
              <w:left w:val="single" w:sz="4" w:space="0" w:color="auto"/>
              <w:bottom w:val="single" w:sz="4" w:space="0" w:color="auto"/>
              <w:right w:val="single" w:sz="4" w:space="0" w:color="auto"/>
            </w:tcBorders>
            <w:vAlign w:val="center"/>
          </w:tcPr>
          <w:p/>
        </w:tc>
        <w:tc>
          <w:tcPr>
            <w:tcW w:w="6901" w:type="dxa"/>
            <w:gridSpan w:val="4"/>
            <w:tcBorders>
              <w:top w:val="single" w:sz="4" w:space="0" w:color="auto"/>
              <w:left w:val="nil"/>
              <w:bottom w:val="single" w:sz="4" w:space="0" w:color="auto"/>
              <w:right w:val="single" w:sz="4" w:space="0" w:color="auto"/>
            </w:tcBorders>
          </w:tcPr>
          <w:p>
            <w:pPr>
              <w:widowControl/>
              <w:jc w:val="left"/>
              <w:rPr>
                <w:rFonts w:ascii="仿宋_GB2312" w:eastAsia="仿宋_GB2312" w:cs="宋体"/>
                <w:color w:val="000000"/>
                <w:kern w:val="0"/>
                <w:sz w:val="15"/>
                <w:szCs w:val="15"/>
              </w:rPr>
            </w:pPr>
            <w:r>
              <w:rPr>
                <w:rFonts w:ascii="仿宋_GB2312" w:eastAsia="仿宋_GB2312" w:cs="宋体"/>
                <w:color w:val="000000"/>
                <w:kern w:val="0"/>
                <w:sz w:val="15"/>
                <w:szCs w:val="15"/>
              </w:rPr>
              <w:t>9.</w:t>
            </w:r>
            <w:r>
              <w:rPr>
                <w:rFonts w:ascii="仿宋_GB2312" w:eastAsia="仿宋_GB2312" w:cs="宋体" w:hint="eastAsia"/>
                <w:color w:val="000000"/>
                <w:kern w:val="0"/>
                <w:sz w:val="15"/>
                <w:szCs w:val="15"/>
              </w:rPr>
              <w:t>企业在开发新产品或在创新管理、创新技术、创新服务等方面有突破，企业效益明显提高的</w:t>
            </w:r>
            <w:r>
              <w:rPr>
                <w:rFonts w:ascii="仿宋_GB2312" w:eastAsia="仿宋_GB2312" w:cs="宋体"/>
                <w:color w:val="000000"/>
                <w:kern w:val="0"/>
                <w:sz w:val="15"/>
                <w:szCs w:val="15"/>
              </w:rPr>
              <w:t>计</w:t>
            </w:r>
            <w:r>
              <w:rPr>
                <w:rFonts w:ascii="仿宋_GB2312" w:eastAsia="仿宋_GB2312" w:cs="宋体" w:hint="eastAsia"/>
                <w:color w:val="000000"/>
                <w:kern w:val="0"/>
                <w:sz w:val="15"/>
                <w:szCs w:val="15"/>
              </w:rPr>
              <w:t>1</w:t>
            </w:r>
            <w:r>
              <w:rPr>
                <w:rFonts w:ascii="仿宋_GB2312" w:eastAsia="仿宋_GB2312" w:cs="宋体"/>
                <w:color w:val="000000"/>
                <w:kern w:val="0"/>
                <w:sz w:val="15"/>
                <w:szCs w:val="15"/>
              </w:rPr>
              <w:t>分，没有的计0分。</w:t>
            </w:r>
          </w:p>
        </w:tc>
        <w:tc>
          <w:tcPr>
            <w:tcW w:w="2167" w:type="dxa"/>
            <w:vMerge/>
            <w:tcBorders>
              <w:top w:val="nil"/>
              <w:left w:val="single" w:sz="4" w:space="0" w:color="auto"/>
              <w:bottom w:val="single" w:sz="4" w:space="0" w:color="auto"/>
              <w:right w:val="single" w:sz="4" w:space="0" w:color="auto"/>
            </w:tcBorders>
            <w:vAlign w:val="center"/>
          </w:tcPr>
          <w:p/>
        </w:tc>
        <w:tc>
          <w:tcPr>
            <w:tcW w:w="2783" w:type="dxa"/>
            <w:gridSpan w:val="2"/>
            <w:vMerge/>
            <w:tcBorders>
              <w:top w:val="single" w:sz="4" w:space="0" w:color="auto"/>
              <w:left w:val="single" w:sz="4" w:space="0" w:color="auto"/>
              <w:bottom w:val="single" w:sz="4" w:space="0" w:color="auto"/>
              <w:right w:val="single" w:sz="4" w:space="0" w:color="auto"/>
            </w:tcBorders>
            <w:vAlign w:val="center"/>
          </w:tcPr>
          <w:p/>
        </w:tc>
        <w:tc>
          <w:tcPr>
            <w:tcW w:w="1391" w:type="dxa"/>
            <w:vMerge/>
            <w:tcBorders>
              <w:top w:val="single" w:sz="4" w:space="0" w:color="auto"/>
              <w:left w:val="single" w:sz="4" w:space="0" w:color="auto"/>
              <w:bottom w:val="single" w:sz="4" w:space="0" w:color="000000"/>
              <w:right w:val="single" w:sz="4" w:space="0" w:color="auto"/>
            </w:tcBorders>
            <w:vAlign w:val="center"/>
          </w:tcPr>
          <w:p/>
        </w:tc>
      </w:tr>
    </w:tbl>
    <w:p>
      <w:pPr>
        <w:widowControl/>
        <w:tabs>
          <w:tab w:val="left" w:pos="354"/>
        </w:tabs>
        <w:adjustRightInd w:val="0"/>
        <w:snapToGrid w:val="0"/>
        <w:spacing w:line="580" w:lineRule="exact"/>
        <w:jc w:val="left"/>
        <w:rPr>
          <w:rFonts w:ascii="仿宋_GB2312" w:eastAsia="仿宋_GB2312" w:cs="宋体" w:hint="eastAsia"/>
          <w:color w:val="000000"/>
          <w:kern w:val="0"/>
          <w:sz w:val="11"/>
          <w:szCs w:val="11"/>
          <w:lang w:eastAsia="zh-CN"/>
        </w:rPr>
        <w:sectPr>
          <w:headerReference w:type="default" r:id="rId3"/>
          <w:pgSz w:w="16838" w:h="11906" w:orient="landscape"/>
          <w:pgMar w:top="1134" w:right="851" w:bottom="1021" w:left="851" w:header="851" w:footer="992" w:gutter="0"/>
          <w:pgNumType/>
          <w:docGrid w:type="lines" w:linePitch="312" w:charSpace="0"/>
        </w:sectPr>
      </w:pPr>
    </w:p>
    <w:p>
      <w:pPr>
        <w:spacing w:line="200" w:lineRule="exact"/>
        <w:ind w:firstLineChars="496" w:firstLine="1590"/>
        <w:rPr>
          <w:rFonts w:ascii="仿宋" w:eastAsia="仿宋" w:cs="仿宋" w:hint="eastAsia"/>
          <w:sz w:val="32"/>
          <w:szCs w:val="32"/>
          <w:lang w:eastAsia="zh-CN"/>
        </w:rPr>
      </w:pPr>
    </w:p>
    <w:p/>
    <w:sectPr>
      <w:footerReference w:type="default" r:id="rId4"/>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仿宋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Arial">
    <w:altName w:val="Nimbus Roman No9 L"/>
    <w:panose1 w:val="020B0604020202020204"/>
    <w:charset w:val="01"/>
    <w:family w:val="swiss"/>
    <w:pitch w:val="variable"/>
    <w:sig w:usb0="E0002AFF" w:usb1="C0007843" w:usb2="00000009" w:usb3="00000000" w:csb0="400001FF" w:csb1="FFFF0000"/>
  </w:font>
  <w:font w:name="Times New Roman">
    <w:altName w:val="Nimbus Roman No9 L"/>
    <w:panose1 w:val="02020603050405020304"/>
    <w:charset w:val="86"/>
    <w:family w:val="auto"/>
    <w:pitch w:val="variable"/>
    <w:sig w:usb0="00000000" w:usb1="00000000" w:usb2="00000009" w:usb3="00000000" w:csb0="400001FF" w:csb1="FFFF0000"/>
  </w:font>
  <w:font w:name="Calibri">
    <w:altName w:val="DejaVu Sans"/>
    <w:panose1 w:val="020F0502020204030204"/>
    <w:charset w:val="00"/>
    <w:family w:val="swiss"/>
    <w:pitch w:val="variable"/>
    <w:sig w:usb0="00000000" w:usb1="00000000" w:usb2="00000001" w:usb3="00000000" w:csb0="0000019F" w:csb1="00000000"/>
  </w:font>
  <w:font w:name="Luxi Sans">
    <w:altName w:val="Arial"/>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rPr>
        <w:sz w:val="18"/>
      </w:rPr>
      <mc:AlternateContent>
        <mc:Choice Requires="wps">
          <w:drawing>
            <wp:anchor distT="0" distB="0" distL="114298" distR="114298" simplePos="0" relativeHeight="13" behindDoc="0" locked="0" layoutInCell="1" hidden="0" allowOverlap="1">
              <wp:simplePos x="0" y="0"/>
              <wp:positionH relativeFrom="margin">
                <wp:align>right</wp:align>
              </wp:positionH>
              <wp:positionV relativeFrom="paragraph">
                <wp:posOffset>0</wp:posOffset>
              </wp:positionV>
              <wp:extent cx="115900" cy="139674"/>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15900" cy="139674"/>
                      </a:xfrm>
                      <a:prstGeom prst="rect"/>
                      <a:noFill/>
                      <a:ln w="6350" cmpd="sng" cap="flat">
                        <a:noFill/>
                        <a:prstDash val="solid"/>
                        <a:round/>
                      </a:ln>
                    </wps:spPr>
                    <wps:txbx id="2">
                      <w:txbxContent>
                        <w:p>
                          <w:pPr>
                            <w:pStyle w:val="15"/>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9.125998pt;height:10.998005pt;z-index:13;mso-position-horizontal:right;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ind w:right="360" w:firstLine="360"/>
    </w:pPr>
    <w:r>
      <w:rPr>
        <w:sz w:val="18"/>
      </w:rPr>
      <mc:AlternateContent>
        <mc:Choice Requires="wps">
          <w:drawing>
            <wp:anchor distT="0" distB="0" distL="114298" distR="114298" simplePos="0" relativeHeight="15" behindDoc="0" locked="0" layoutInCell="1" hidden="0" allowOverlap="1">
              <wp:simplePos x="0" y="0"/>
              <wp:positionH relativeFrom="margin">
                <wp:align>right</wp:align>
              </wp:positionH>
              <wp:positionV relativeFrom="paragraph">
                <wp:posOffset>0</wp:posOffset>
              </wp:positionV>
              <wp:extent cx="115900" cy="139674"/>
              <wp:effectExtent l="0" t="0" r="0" b="0"/>
              <wp:wrapNone/>
              <wp:docPr id="4" name="文本框 2"/>
              <wp:cNvGraphicFramePr>
                <a:graphicFrameLocks noChangeAspect="0"/>
              </wp:cNvGraphicFramePr>
              <a:graphic>
                <a:graphicData uri="http://schemas.microsoft.com/office/word/2010/wordprocessingShape">
                  <wps:wsp>
                    <wps:cNvSpPr/>
                    <wps:spPr>
                      <a:xfrm rot="0">
                        <a:off x="0" y="0"/>
                        <a:ext cx="115900" cy="139674"/>
                      </a:xfrm>
                      <a:prstGeom prst="rect"/>
                      <a:noFill/>
                      <a:ln w="6350" cmpd="sng" cap="flat">
                        <a:noFill/>
                        <a:prstDash val="solid"/>
                        <a:round/>
                      </a:ln>
                    </wps:spPr>
                    <wps:txbx id="5">
                      <w:txbxContent>
                        <w:p>
                          <w:pPr>
                            <w:pStyle w:val="15"/>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2 6" o:spid="_x0000_s6" filled="f" stroked="f" strokeweight="0.5pt" style="position:absolute;margin-left:0.0pt;margin-top:0.0pt;width:9.125998pt;height:10.998005pt;z-index:15;mso-position-horizontal:right;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5"/>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oNotDisplayPageBoundaries/>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22">
    <w:name w:val="toc 1"/>
    <w:basedOn w:val="0"/>
    <w:autoRedefine/>
    <w:next w:val="0"/>
  </w:style>
  <w:style w:type="paragraph" w:styleId="23">
    <w:name w:val="toc 2"/>
    <w:basedOn w:val="0"/>
    <w:autoRedefine/>
    <w:next w:val="0"/>
    <w:pPr>
      <w:ind w:left="420"/>
    </w:pPr>
  </w:style>
  <w:style w:type="paragraph" w:styleId="24">
    <w:name w:val="toc 3"/>
    <w:basedOn w:val="0"/>
    <w:autoRedefine/>
    <w:next w:val="0"/>
    <w:pPr>
      <w:ind w:left="840"/>
    </w:pPr>
  </w:style>
  <w:style w:type="paragraph" w:styleId="25">
    <w:name w:val="toc 4"/>
    <w:basedOn w:val="0"/>
    <w:autoRedefine/>
    <w:next w:val="0"/>
    <w:pPr>
      <w:ind w:left="1260"/>
    </w:pPr>
  </w:style>
  <w:style w:type="paragraph" w:styleId="26">
    <w:name w:val="toc 5"/>
    <w:basedOn w:val="0"/>
    <w:autoRedefine/>
    <w:next w:val="0"/>
    <w:pPr>
      <w:ind w:left="168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6</TotalTime>
  <Application>Yozo_Office27021597764231179</Application>
  <Pages>9</Pages>
  <Words>4719</Words>
  <Characters>4910</Characters>
  <Lines>326</Lines>
  <Paragraphs>122</Paragraphs>
  <CharactersWithSpaces>5016</CharactersWithSpaces>
  <Company>其他省直机关单</Company>
</Properties>
</file>

<file path=docProps/core.xml><?xml version="1.0" encoding="utf-8"?>
<cp:coreProperties xmlns:cp="http://schemas.openxmlformats.org/package/2006/metadata/core-properties" xmlns:dc="http://purl.org/dc/elements/1.1/" xmlns:dcterms="http://purl.org/dc/terms/" xmlns:xsi="http://www.w3.org/2001/XMLSchema-instance">
  <dc:title>附件3广东省林业龙头企业申报认定与监测办法</dc:title>
  <dc:creator>吴灿军</dc:creator>
  <cp:lastModifiedBy>谢万燕</cp:lastModifiedBy>
  <cp:revision>1</cp:revision>
  <dcterms:created xsi:type="dcterms:W3CDTF">2019-08-29T15:33:00Z</dcterms:created>
  <dcterms:modified xsi:type="dcterms:W3CDTF">2022-04-18T10:40:44Z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