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0" w:firstLineChars="200"/>
        <w:jc w:val="center"/>
        <w:textAlignment w:val="auto"/>
        <w:rPr>
          <w:rFonts w:hint="default" w:ascii="Times New Roman" w:hAnsi="Times New Roman" w:eastAsia="Heiti SC Medium" w:cs="Times New Roman"/>
          <w:color w:val="auto"/>
          <w:kern w:val="2"/>
          <w:sz w:val="72"/>
          <w:szCs w:val="72"/>
          <w:highlight w:val="none"/>
          <w:lang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72"/>
          <w:szCs w:val="72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72"/>
          <w:szCs w:val="72"/>
          <w:highlight w:val="none"/>
          <w:lang w:val="en-US" w:eastAsia="zh-CN" w:bidi="ar"/>
        </w:rPr>
        <w:t>广东省南粤红绿径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72"/>
          <w:szCs w:val="7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72"/>
          <w:szCs w:val="72"/>
          <w:highlight w:val="none"/>
          <w:lang w:val="en-US" w:eastAsia="zh-CN" w:bidi="ar"/>
        </w:rPr>
        <w:t>申报书</w:t>
      </w:r>
    </w:p>
    <w:p>
      <w:pPr>
        <w:spacing w:line="580" w:lineRule="exact"/>
        <w:ind w:firstLine="1446" w:firstLineChars="20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72"/>
          <w:szCs w:val="72"/>
          <w:highlight w:val="none"/>
          <w:lang w:eastAsia="zh-CN" w:bidi="ar-SA"/>
        </w:rPr>
      </w:pPr>
    </w:p>
    <w:p>
      <w:p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 w:bidi="ar-SA"/>
        </w:rPr>
      </w:pPr>
    </w:p>
    <w:p>
      <w:pPr>
        <w:pStyle w:val="3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 w:bidi="ar-SA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 w:bidi="ar-SA"/>
        </w:rPr>
      </w:pPr>
    </w:p>
    <w:p>
      <w:pPr>
        <w:pStyle w:val="3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 w:bidi="ar-SA"/>
        </w:rPr>
      </w:pPr>
    </w:p>
    <w:p>
      <w:pPr>
        <w:pStyle w:val="3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eastAsia="zh-CN" w:bidi="ar-SA"/>
        </w:rPr>
        <w:t>申报单位：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single"/>
          <w:lang w:eastAsia="zh-CN" w:bidi="ar-SA"/>
        </w:rPr>
        <w:t xml:space="preserve">                          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eastAsia="zh-CN" w:bidi="ar-SA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single"/>
          <w:lang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eastAsia="zh-CN" w:bidi="ar-SA"/>
        </w:rPr>
        <w:t>申报日期：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single"/>
          <w:lang w:eastAsia="zh-CN" w:bidi="ar-SA"/>
        </w:rPr>
        <w:t xml:space="preserve">       年       月  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single"/>
          <w:lang w:eastAsia="zh-CN" w:bidi="ar-SA"/>
        </w:rPr>
      </w:pPr>
    </w:p>
    <w:p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single"/>
          <w:lang w:eastAsia="zh-CN" w:bidi="ar-SA"/>
        </w:rPr>
      </w:pPr>
    </w:p>
    <w:p>
      <w:pPr>
        <w:widowControl w:val="0"/>
        <w:spacing w:line="580" w:lineRule="exact"/>
        <w:ind w:firstLine="560" w:firstLineChars="2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eastAsia="zh-CN" w:bidi="ar-SA"/>
        </w:rPr>
        <w:t>广东省林业局制表</w:t>
      </w:r>
    </w:p>
    <w:p>
      <w:pPr>
        <w:pStyle w:val="2"/>
        <w:rPr>
          <w:rFonts w:hint="default"/>
          <w:lang w:eastAsia="zh-CN"/>
        </w:rPr>
      </w:pPr>
    </w:p>
    <w:p>
      <w:pPr>
        <w:pStyle w:val="3"/>
        <w:rPr>
          <w:rFonts w:hint="default"/>
          <w:lang w:eastAsia="zh-CN"/>
        </w:rPr>
      </w:pP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421"/>
        <w:gridCol w:w="846"/>
        <w:gridCol w:w="1912"/>
        <w:gridCol w:w="379"/>
        <w:gridCol w:w="840"/>
        <w:gridCol w:w="32"/>
        <w:gridCol w:w="536"/>
        <w:gridCol w:w="521"/>
        <w:gridCol w:w="853"/>
        <w:gridCol w:w="1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9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申报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单位</w:t>
            </w:r>
          </w:p>
        </w:tc>
        <w:tc>
          <w:tcPr>
            <w:tcW w:w="3908" w:type="pct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9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单位法人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355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单位性质</w:t>
            </w:r>
          </w:p>
        </w:tc>
        <w:tc>
          <w:tcPr>
            <w:tcW w:w="143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9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联系人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55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143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9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手机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355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电子邮箱</w:t>
            </w:r>
          </w:p>
        </w:tc>
        <w:tc>
          <w:tcPr>
            <w:tcW w:w="143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9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通讯地址</w:t>
            </w:r>
          </w:p>
        </w:tc>
        <w:tc>
          <w:tcPr>
            <w:tcW w:w="3908" w:type="pct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市  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9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公益开放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355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土地权属</w:t>
            </w:r>
          </w:p>
        </w:tc>
        <w:tc>
          <w:tcPr>
            <w:tcW w:w="143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国有</w:t>
            </w: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91" w:type="pct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资源条件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是否位于绿色园地及周边林区</w:t>
            </w:r>
          </w:p>
        </w:tc>
        <w:tc>
          <w:tcPr>
            <w:tcW w:w="71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是否有基础及服务设施</w:t>
            </w:r>
          </w:p>
        </w:tc>
        <w:tc>
          <w:tcPr>
            <w:tcW w:w="9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91" w:type="pct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是否有红色文化、党建文化资源</w:t>
            </w:r>
          </w:p>
        </w:tc>
        <w:tc>
          <w:tcPr>
            <w:tcW w:w="104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红色文化</w:t>
            </w: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资源</w:t>
            </w: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</w:t>
            </w: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党建文化</w:t>
            </w: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资源</w:t>
            </w:r>
          </w:p>
        </w:tc>
        <w:tc>
          <w:tcPr>
            <w:tcW w:w="80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是否可提供体验服务</w:t>
            </w:r>
          </w:p>
        </w:tc>
        <w:tc>
          <w:tcPr>
            <w:tcW w:w="9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9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用地条件</w:t>
            </w:r>
          </w:p>
        </w:tc>
        <w:tc>
          <w:tcPr>
            <w:tcW w:w="2477" w:type="pct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是否占用高标准农田</w:t>
            </w:r>
          </w:p>
        </w:tc>
        <w:tc>
          <w:tcPr>
            <w:tcW w:w="143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9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交通条件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距离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国道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公里</w:t>
            </w: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71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距离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省道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公里</w:t>
            </w: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9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通信条件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基地范围内通信信号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全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覆盖</w:t>
            </w:r>
          </w:p>
        </w:tc>
        <w:tc>
          <w:tcPr>
            <w:tcW w:w="71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是</w:t>
            </w: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  <w:tc>
          <w:tcPr>
            <w:tcW w:w="114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外部通讯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设备</w:t>
            </w:r>
          </w:p>
        </w:tc>
        <w:tc>
          <w:tcPr>
            <w:tcW w:w="9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有</w:t>
            </w:r>
            <w:r>
              <w:rPr>
                <w:rFonts w:ascii="Wingdings 2" w:hAnsi="Wingdings 2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sym w:font="Wingdings 2" w:char="F0A3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年开放天数</w:t>
            </w:r>
          </w:p>
        </w:tc>
        <w:tc>
          <w:tcPr>
            <w:tcW w:w="183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可接纳人数</w:t>
            </w:r>
          </w:p>
        </w:tc>
        <w:tc>
          <w:tcPr>
            <w:tcW w:w="9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tblHeader/>
        </w:trPr>
        <w:tc>
          <w:tcPr>
            <w:tcW w:w="1091" w:type="pct"/>
            <w:gridSpan w:val="3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8"/>
                <w:highlight w:val="none"/>
                <w:lang w:val="en-US" w:eastAsia="zh-CN" w:bidi="ar-SA"/>
              </w:rPr>
              <w:t>指标</w:t>
            </w:r>
          </w:p>
        </w:tc>
        <w:tc>
          <w:tcPr>
            <w:tcW w:w="1838" w:type="pct"/>
            <w:gridSpan w:val="3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8"/>
                <w:highlight w:val="none"/>
                <w:lang w:val="en-US" w:eastAsia="zh-CN" w:bidi="ar-SA"/>
              </w:rPr>
              <w:t>内容与要求</w:t>
            </w:r>
          </w:p>
        </w:tc>
        <w:tc>
          <w:tcPr>
            <w:tcW w:w="1140" w:type="pct"/>
            <w:gridSpan w:val="4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8"/>
                <w:highlight w:val="none"/>
                <w:lang w:val="en-US" w:eastAsia="zh-CN" w:bidi="ar-SA"/>
              </w:rPr>
              <w:t>参考值</w:t>
            </w:r>
          </w:p>
        </w:tc>
        <w:tc>
          <w:tcPr>
            <w:tcW w:w="929" w:type="pct"/>
            <w:gridSpan w:val="2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8"/>
                <w:highlight w:val="none"/>
                <w:lang w:val="en-US" w:eastAsia="zh-CN" w:bidi="ar-SA"/>
              </w:rPr>
              <w:t>现状值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91" w:type="pct"/>
            <w:gridSpan w:val="3"/>
            <w:vMerge w:val="restart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主题教育径</w:t>
            </w:r>
          </w:p>
        </w:tc>
        <w:tc>
          <w:tcPr>
            <w:tcW w:w="1838" w:type="pct"/>
            <w:gridSpan w:val="3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长度</w:t>
            </w:r>
          </w:p>
        </w:tc>
        <w:tc>
          <w:tcPr>
            <w:tcW w:w="114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2公里以上</w:t>
            </w:r>
          </w:p>
        </w:tc>
        <w:tc>
          <w:tcPr>
            <w:tcW w:w="9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91" w:type="pct"/>
            <w:gridSpan w:val="3"/>
            <w:vMerge w:val="continue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38" w:type="pct"/>
            <w:gridSpan w:val="3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平均宽度</w:t>
            </w:r>
          </w:p>
        </w:tc>
        <w:tc>
          <w:tcPr>
            <w:tcW w:w="114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1.5米以上</w:t>
            </w:r>
          </w:p>
        </w:tc>
        <w:tc>
          <w:tcPr>
            <w:tcW w:w="9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91" w:type="pct"/>
            <w:gridSpan w:val="3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南粤红绿径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文化驿站</w:t>
            </w:r>
          </w:p>
        </w:tc>
        <w:tc>
          <w:tcPr>
            <w:tcW w:w="1838" w:type="pct"/>
            <w:gridSpan w:val="3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4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处</w:t>
            </w:r>
          </w:p>
        </w:tc>
        <w:tc>
          <w:tcPr>
            <w:tcW w:w="9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91" w:type="pct"/>
            <w:gridSpan w:val="3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标识系统</w:t>
            </w:r>
          </w:p>
        </w:tc>
        <w:tc>
          <w:tcPr>
            <w:tcW w:w="1838" w:type="pct"/>
            <w:gridSpan w:val="3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40" w:type="pct"/>
            <w:gridSpan w:val="4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929" w:type="pct"/>
            <w:gridSpan w:val="2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347" w:type="pct"/>
            <w:vMerge w:val="restart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解说</w:t>
            </w:r>
          </w:p>
        </w:tc>
        <w:tc>
          <w:tcPr>
            <w:tcW w:w="744" w:type="pct"/>
            <w:gridSpan w:val="2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自导式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解说系统</w:t>
            </w:r>
          </w:p>
        </w:tc>
        <w:tc>
          <w:tcPr>
            <w:tcW w:w="1838" w:type="pct"/>
            <w:gridSpan w:val="3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4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92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347" w:type="pct"/>
            <w:vMerge w:val="continue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113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66" w:type="pct"/>
            <w:gridSpan w:val="3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解说员</w:t>
            </w:r>
          </w:p>
        </w:tc>
        <w:tc>
          <w:tcPr>
            <w:tcW w:w="1049" w:type="pct"/>
            <w:gridSpan w:val="4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80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1名</w:t>
            </w:r>
          </w:p>
        </w:tc>
        <w:tc>
          <w:tcPr>
            <w:tcW w:w="9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47" w:type="pct"/>
            <w:vMerge w:val="continue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113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66" w:type="pct"/>
            <w:gridSpan w:val="3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辅助工作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人员</w:t>
            </w:r>
          </w:p>
        </w:tc>
        <w:tc>
          <w:tcPr>
            <w:tcW w:w="1049" w:type="pct"/>
            <w:gridSpan w:val="4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80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2名</w:t>
            </w:r>
          </w:p>
        </w:tc>
        <w:tc>
          <w:tcPr>
            <w:tcW w:w="9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347" w:type="pct"/>
            <w:vMerge w:val="continue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113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66" w:type="pct"/>
            <w:gridSpan w:val="3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志愿者</w:t>
            </w:r>
          </w:p>
        </w:tc>
        <w:tc>
          <w:tcPr>
            <w:tcW w:w="1049" w:type="pct"/>
            <w:gridSpan w:val="4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80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3名</w:t>
            </w:r>
          </w:p>
        </w:tc>
        <w:tc>
          <w:tcPr>
            <w:tcW w:w="9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47" w:type="pct"/>
            <w:vMerge w:val="restart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特色</w:t>
            </w:r>
          </w:p>
        </w:tc>
        <w:tc>
          <w:tcPr>
            <w:tcW w:w="1866" w:type="pct"/>
            <w:gridSpan w:val="3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教学课程</w:t>
            </w:r>
          </w:p>
        </w:tc>
        <w:tc>
          <w:tcPr>
            <w:tcW w:w="1049" w:type="pct"/>
            <w:gridSpan w:val="4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807" w:type="pct"/>
            <w:gridSpan w:val="3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929" w:type="pct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47" w:type="pct"/>
            <w:vMerge w:val="continue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113" w:right="113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66" w:type="pct"/>
            <w:gridSpan w:val="3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主题活动</w:t>
            </w:r>
          </w:p>
        </w:tc>
        <w:tc>
          <w:tcPr>
            <w:tcW w:w="1049" w:type="pct"/>
            <w:gridSpan w:val="4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场次</w:t>
            </w:r>
          </w:p>
        </w:tc>
        <w:tc>
          <w:tcPr>
            <w:tcW w:w="807" w:type="pct"/>
            <w:gridSpan w:val="3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1场</w:t>
            </w:r>
          </w:p>
        </w:tc>
        <w:tc>
          <w:tcPr>
            <w:tcW w:w="9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8" w:hRule="atLeast"/>
        </w:trPr>
        <w:tc>
          <w:tcPr>
            <w:tcW w:w="347" w:type="pct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113" w:right="113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南粤红绿径建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设概况</w:t>
            </w:r>
          </w:p>
        </w:tc>
        <w:tc>
          <w:tcPr>
            <w:tcW w:w="4652" w:type="pct"/>
            <w:gridSpan w:val="11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2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2"/>
                <w:highlight w:val="none"/>
                <w:lang w:val="en-US" w:eastAsia="zh-CN" w:bidi="ar-SA"/>
              </w:rPr>
              <w:t>（参考《广东省南粤红绿径建设指引》，包括资源条件、设施条件、解说队伍、特色课程、其他建设内容、运营管理、媒体宣传等，2000字以内，可附页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2"/>
                <w:highlight w:val="none"/>
                <w:lang w:eastAsia="zh-CN" w:bidi="ar-SA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4" w:hRule="atLeast"/>
        </w:trPr>
        <w:tc>
          <w:tcPr>
            <w:tcW w:w="594" w:type="pct"/>
            <w:gridSpan w:val="2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right="113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right="113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8"/>
                <w:highlight w:val="none"/>
                <w:lang w:val="en-US" w:eastAsia="zh-CN" w:bidi="ar-SA"/>
              </w:rPr>
              <w:t>其他设施、</w:t>
            </w:r>
          </w:p>
        </w:tc>
        <w:tc>
          <w:tcPr>
            <w:tcW w:w="4405" w:type="pct"/>
            <w:gridSpan w:val="10"/>
            <w:noWrap w:val="0"/>
            <w:tcMar>
              <w:top w:w="60" w:type="dxa"/>
              <w:left w:w="60" w:type="dxa"/>
              <w:bottom w:w="45" w:type="dxa"/>
              <w:right w:w="6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2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（参考《广东省南粤红绿径建设指引》中的</w:t>
            </w: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其他设施和品牌产品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，1000字以内，可附页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594" w:type="pct"/>
            <w:gridSpan w:val="2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113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获得相关奖励、称号</w:t>
            </w:r>
          </w:p>
        </w:tc>
        <w:tc>
          <w:tcPr>
            <w:tcW w:w="4405" w:type="pct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（奖励或称号的名称，获得时间，颁发单位等）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</w:trPr>
        <w:tc>
          <w:tcPr>
            <w:tcW w:w="594" w:type="pct"/>
            <w:gridSpan w:val="2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审查意见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县级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eastAsia="zh-CN" w:bidi="ar-SA"/>
              </w:rPr>
              <w:t>（市、区）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林业主管部门</w:t>
            </w:r>
          </w:p>
        </w:tc>
        <w:tc>
          <w:tcPr>
            <w:tcW w:w="1886" w:type="pct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26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 xml:space="preserve"> </w:t>
            </w: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ab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单  位（盖章）</w:t>
            </w: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 xml:space="preserve"> </w:t>
            </w:r>
            <w:r>
              <w:rPr>
                <w:rFonts w:hint="eastAsia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 xml:space="preserve">时  间：      </w:t>
            </w:r>
          </w:p>
        </w:tc>
        <w:tc>
          <w:tcPr>
            <w:tcW w:w="521" w:type="pct"/>
            <w:gridSpan w:val="2"/>
            <w:noWrap w:val="0"/>
            <w:textDirection w:val="tbLrV"/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leftChars="0" w:right="113" w:firstLine="0" w:firstLineChars="0"/>
              <w:jc w:val="center"/>
              <w:textAlignment w:val="auto"/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县级（市、区）</w:t>
            </w: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文化和旅游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主管部</w:t>
            </w: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门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leftChars="0" w:right="113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审查意见</w:t>
            </w:r>
          </w:p>
        </w:tc>
        <w:tc>
          <w:tcPr>
            <w:tcW w:w="1996" w:type="pct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40" w:hanging="240" w:hangingChars="1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 xml:space="preserve">单  位（盖章）              </w:t>
            </w: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 xml:space="preserve">     </w:t>
            </w: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 xml:space="preserve">    时  间：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594" w:type="pct"/>
            <w:gridSpan w:val="2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113" w:rightChars="0" w:firstLine="0" w:firstLineChars="0"/>
              <w:jc w:val="center"/>
              <w:textAlignment w:val="auto"/>
              <w:rPr>
                <w:rFonts w:hint="default" w:asci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审查意见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113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市级林业主管部门</w:t>
            </w:r>
          </w:p>
        </w:tc>
        <w:tc>
          <w:tcPr>
            <w:tcW w:w="1886" w:type="pct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40" w:hanging="240" w:hangingChars="1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 xml:space="preserve">                         </w:t>
            </w: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 xml:space="preserve">单  位（盖章）              </w:t>
            </w: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 xml:space="preserve">     </w:t>
            </w: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 xml:space="preserve">    时  间：      </w:t>
            </w:r>
          </w:p>
        </w:tc>
        <w:tc>
          <w:tcPr>
            <w:tcW w:w="521" w:type="pct"/>
            <w:gridSpan w:val="2"/>
            <w:noWrap w:val="0"/>
            <w:textDirection w:val="tbLrV"/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leftChars="0" w:right="113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市级</w:t>
            </w: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文化和旅游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leftChars="0" w:right="113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审查意见</w:t>
            </w:r>
          </w:p>
        </w:tc>
        <w:tc>
          <w:tcPr>
            <w:tcW w:w="1996" w:type="pct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40" w:hanging="240" w:hangingChars="1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 xml:space="preserve">单  位（盖章）          </w:t>
            </w: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 xml:space="preserve">     </w:t>
            </w:r>
            <w:r>
              <w:rPr>
                <w:rFonts w:hint="default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 xml:space="preserve">    时  间：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594" w:type="pct"/>
            <w:gridSpan w:val="2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113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eastAsia="仿宋" w:cs="Times New Roman"/>
                <w:kern w:val="2"/>
                <w:sz w:val="24"/>
                <w:szCs w:val="24"/>
                <w:lang w:eastAsia="zh-CN" w:bidi="ar-SA"/>
              </w:rPr>
              <w:t>省</w:t>
            </w:r>
            <w:r>
              <w:rPr>
                <w:rFonts w:hint="default" w:asci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林业局审查意见</w:t>
            </w:r>
          </w:p>
        </w:tc>
        <w:tc>
          <w:tcPr>
            <w:tcW w:w="1886" w:type="pct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eastAsia="zh-CN" w:bidi="ar-SA"/>
              </w:rPr>
              <w:t>单  位（盖章）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240" w:firstLineChars="100"/>
              <w:jc w:val="both"/>
              <w:textAlignment w:val="auto"/>
              <w:rPr>
                <w:rFonts w:hint="default" w:eastAsia="仿宋_GB2312" w:cs="Times New Roman"/>
                <w:kern w:val="2"/>
                <w:sz w:val="30"/>
                <w:szCs w:val="22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eastAsia="zh-CN" w:bidi="ar-SA"/>
              </w:rPr>
              <w:t>时  间：</w:t>
            </w:r>
          </w:p>
        </w:tc>
        <w:tc>
          <w:tcPr>
            <w:tcW w:w="521" w:type="pct"/>
            <w:gridSpan w:val="2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40" w:leftChars="0" w:right="113" w:hanging="240" w:hangingChars="10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省文化和旅游厅审</w:t>
            </w: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查</w:t>
            </w:r>
            <w:r>
              <w:rPr>
                <w:rFonts w:hint="default" w:asci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1996" w:type="pct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both"/>
              <w:textAlignment w:val="auto"/>
              <w:rPr>
                <w:rFonts w:hint="default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1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240" w:firstLineChars="1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单  位（盖章）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none"/>
                <w:lang w:eastAsia="zh-CN" w:bidi="ar-SA"/>
              </w:rPr>
              <w:t>时  间：</w:t>
            </w:r>
          </w:p>
        </w:tc>
      </w:tr>
    </w:tbl>
    <w:p>
      <w:pPr>
        <w:spacing w:line="20" w:lineRule="exact"/>
        <w:ind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0"/>
          <w:szCs w:val="2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tabs>
          <w:tab w:val="left" w:pos="2900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Medium">
    <w:altName w:val="宋体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24F81"/>
    <w:rsid w:val="6912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line="560" w:lineRule="exact"/>
      <w:ind w:firstLine="643" w:firstLineChars="200"/>
      <w:jc w:val="both"/>
    </w:pPr>
    <w:rPr>
      <w:rFonts w:ascii="仿宋" w:hAnsi="仿宋" w:eastAsia="仿宋" w:cs="仿宋"/>
      <w:kern w:val="2"/>
      <w:sz w:val="28"/>
      <w:szCs w:val="28"/>
      <w:lang w:eastAsia="zh-CN" w:bidi="ar-SA"/>
    </w:rPr>
  </w:style>
  <w:style w:type="paragraph" w:styleId="3">
    <w:name w:val="Body Text First Indent"/>
    <w:basedOn w:val="2"/>
    <w:next w:val="2"/>
    <w:qFormat/>
    <w:uiPriority w:val="0"/>
    <w:pPr>
      <w:ind w:firstLine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省林业厅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2024-04-15T02:42:00Z</dcterms:created>
  <dc:creator>唐洁</dc:creator>
  <cp:lastModifiedBy>唐洁</cp:lastModifiedBy>
  <dcterms:modified xsi:type="dcterms:W3CDTF">2024-04-15T02:43:47Z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3B075BACBF614784BF1225292465BCA1</vt:lpwstr>
  </property>
</Properties>
</file>