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r>
        <w:rPr>
          <w:rFonts w:hint="eastAsia" w:ascii="宋体" w:hAnsi="宋体" w:eastAsia="宋体" w:cs="宋体"/>
          <w:sz w:val="44"/>
          <w:szCs w:val="44"/>
          <w:u w:val="single"/>
          <w:lang w:val="en-US" w:eastAsia="zh-CN"/>
        </w:rPr>
        <w:t>国家林业和草原局穿山甲保护研究中心</w:t>
      </w:r>
      <w:r>
        <w:rPr>
          <w:rFonts w:hint="eastAsia" w:ascii="宋体" w:hAnsi="宋体" w:eastAsia="宋体" w:cs="宋体"/>
          <w:sz w:val="44"/>
          <w:szCs w:val="44"/>
          <w:lang w:val="en-US" w:eastAsia="zh-CN"/>
        </w:rPr>
        <w:t>项目预算执行情况表（2024年）</w:t>
      </w:r>
    </w:p>
    <w:p>
      <w:pPr>
        <w:jc w:val="center"/>
        <w:rPr>
          <w:rFonts w:hint="eastAsia"/>
          <w:lang w:val="en-US" w:eastAsia="zh-CN"/>
        </w:rPr>
      </w:pPr>
      <w:r>
        <w:rPr>
          <w:rFonts w:hint="eastAsia"/>
          <w:lang w:val="en-US" w:eastAsia="zh-CN"/>
        </w:rPr>
        <w:t xml:space="preserve">                                                                                                                         单位：万元</w:t>
      </w:r>
    </w:p>
    <w:tbl>
      <w:tblPr>
        <w:tblStyle w:val="3"/>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169"/>
        <w:gridCol w:w="4375"/>
        <w:gridCol w:w="2502"/>
        <w:gridCol w:w="911"/>
        <w:gridCol w:w="1215"/>
        <w:gridCol w:w="1034"/>
        <w:gridCol w:w="1099"/>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169" w:type="dxa"/>
            <w:vMerge w:val="restart"/>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项目年度预算总额</w:t>
            </w:r>
          </w:p>
        </w:tc>
        <w:tc>
          <w:tcPr>
            <w:tcW w:w="4375" w:type="dxa"/>
            <w:vMerge w:val="restart"/>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合同名称</w:t>
            </w:r>
            <w:bookmarkStart w:id="0" w:name="_GoBack"/>
            <w:bookmarkEnd w:id="0"/>
          </w:p>
        </w:tc>
        <w:tc>
          <w:tcPr>
            <w:tcW w:w="2502" w:type="dxa"/>
            <w:vMerge w:val="restart"/>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中标单位</w:t>
            </w:r>
          </w:p>
        </w:tc>
        <w:tc>
          <w:tcPr>
            <w:tcW w:w="911" w:type="dxa"/>
            <w:vMerge w:val="restart"/>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合同金额</w:t>
            </w:r>
          </w:p>
        </w:tc>
        <w:tc>
          <w:tcPr>
            <w:tcW w:w="2249" w:type="dxa"/>
            <w:gridSpan w:val="2"/>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当年支付合同金额</w:t>
            </w:r>
          </w:p>
        </w:tc>
        <w:tc>
          <w:tcPr>
            <w:tcW w:w="2234" w:type="dxa"/>
            <w:gridSpan w:val="2"/>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累计支付合同金额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0" w:type="dxa"/>
            <w:vMerge w:val="continue"/>
            <w:vAlign w:val="center"/>
          </w:tcPr>
          <w:p>
            <w:pPr>
              <w:jc w:val="center"/>
              <w:rPr>
                <w:rFonts w:hint="default"/>
                <w:b/>
                <w:bCs/>
                <w:sz w:val="24"/>
                <w:szCs w:val="24"/>
                <w:vertAlign w:val="baseline"/>
                <w:lang w:val="en-US" w:eastAsia="zh-CN"/>
              </w:rPr>
            </w:pPr>
          </w:p>
        </w:tc>
        <w:tc>
          <w:tcPr>
            <w:tcW w:w="1169" w:type="dxa"/>
            <w:vMerge w:val="continue"/>
            <w:vAlign w:val="center"/>
          </w:tcPr>
          <w:p>
            <w:pPr>
              <w:jc w:val="center"/>
              <w:rPr>
                <w:rFonts w:hint="default"/>
                <w:b/>
                <w:bCs/>
                <w:sz w:val="24"/>
                <w:szCs w:val="24"/>
                <w:vertAlign w:val="baseline"/>
                <w:lang w:val="en-US" w:eastAsia="zh-CN"/>
              </w:rPr>
            </w:pPr>
          </w:p>
        </w:tc>
        <w:tc>
          <w:tcPr>
            <w:tcW w:w="4375" w:type="dxa"/>
            <w:vMerge w:val="continue"/>
            <w:vAlign w:val="center"/>
          </w:tcPr>
          <w:p>
            <w:pPr>
              <w:jc w:val="center"/>
              <w:rPr>
                <w:rFonts w:hint="default"/>
                <w:b/>
                <w:bCs/>
                <w:sz w:val="24"/>
                <w:szCs w:val="24"/>
                <w:vertAlign w:val="baseline"/>
                <w:lang w:val="en-US" w:eastAsia="zh-CN"/>
              </w:rPr>
            </w:pPr>
          </w:p>
        </w:tc>
        <w:tc>
          <w:tcPr>
            <w:tcW w:w="2502" w:type="dxa"/>
            <w:vMerge w:val="continue"/>
            <w:vAlign w:val="center"/>
          </w:tcPr>
          <w:p>
            <w:pPr>
              <w:jc w:val="center"/>
              <w:rPr>
                <w:rFonts w:hint="default"/>
                <w:b/>
                <w:bCs/>
                <w:sz w:val="24"/>
                <w:szCs w:val="24"/>
                <w:vertAlign w:val="baseline"/>
                <w:lang w:val="en-US" w:eastAsia="zh-CN"/>
              </w:rPr>
            </w:pPr>
          </w:p>
        </w:tc>
        <w:tc>
          <w:tcPr>
            <w:tcW w:w="911" w:type="dxa"/>
            <w:vMerge w:val="continue"/>
            <w:vAlign w:val="center"/>
          </w:tcPr>
          <w:p>
            <w:pPr>
              <w:jc w:val="center"/>
              <w:rPr>
                <w:rFonts w:hint="default"/>
                <w:b/>
                <w:bCs/>
                <w:sz w:val="24"/>
                <w:szCs w:val="24"/>
                <w:vertAlign w:val="baseline"/>
                <w:lang w:val="en-US" w:eastAsia="zh-CN"/>
              </w:rPr>
            </w:pPr>
          </w:p>
        </w:tc>
        <w:tc>
          <w:tcPr>
            <w:tcW w:w="1215"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财政支付金额</w:t>
            </w:r>
          </w:p>
        </w:tc>
        <w:tc>
          <w:tcPr>
            <w:tcW w:w="1034"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自筹金额</w:t>
            </w:r>
          </w:p>
        </w:tc>
        <w:tc>
          <w:tcPr>
            <w:tcW w:w="1099"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财政支付金额</w:t>
            </w:r>
          </w:p>
        </w:tc>
        <w:tc>
          <w:tcPr>
            <w:tcW w:w="1135"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自筹金额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10" w:type="dxa"/>
            <w:vAlign w:val="center"/>
          </w:tcPr>
          <w:p>
            <w:pPr>
              <w:jc w:val="center"/>
              <w:rPr>
                <w:rFonts w:hint="default"/>
                <w:b/>
                <w:bCs/>
                <w:vertAlign w:val="baseline"/>
                <w:lang w:val="en-US" w:eastAsia="zh-CN"/>
              </w:rPr>
            </w:pPr>
            <w:r>
              <w:rPr>
                <w:rFonts w:hint="eastAsia"/>
                <w:b/>
                <w:bCs/>
                <w:vertAlign w:val="baseline"/>
                <w:lang w:val="en-US" w:eastAsia="zh-CN"/>
              </w:rPr>
              <w:t>小计</w:t>
            </w:r>
          </w:p>
        </w:tc>
        <w:tc>
          <w:tcPr>
            <w:tcW w:w="1169" w:type="dxa"/>
            <w:vAlign w:val="center"/>
          </w:tcPr>
          <w:p>
            <w:pPr>
              <w:jc w:val="center"/>
              <w:rPr>
                <w:rFonts w:hint="default"/>
                <w:b/>
                <w:bCs/>
                <w:vertAlign w:val="baseline"/>
                <w:lang w:val="en-US" w:eastAsia="zh-CN"/>
              </w:rPr>
            </w:pPr>
            <w:r>
              <w:rPr>
                <w:rFonts w:hint="eastAsia"/>
                <w:b/>
                <w:bCs/>
                <w:vertAlign w:val="baseline"/>
                <w:lang w:val="en-US" w:eastAsia="zh-CN"/>
              </w:rPr>
              <w:t>1109</w:t>
            </w:r>
          </w:p>
        </w:tc>
        <w:tc>
          <w:tcPr>
            <w:tcW w:w="4375" w:type="dxa"/>
            <w:vAlign w:val="center"/>
          </w:tcPr>
          <w:p>
            <w:pPr>
              <w:jc w:val="center"/>
              <w:rPr>
                <w:rFonts w:hint="default"/>
                <w:b/>
                <w:bCs/>
                <w:vertAlign w:val="baseline"/>
                <w:lang w:val="en-US" w:eastAsia="zh-CN"/>
              </w:rPr>
            </w:pPr>
          </w:p>
        </w:tc>
        <w:tc>
          <w:tcPr>
            <w:tcW w:w="2502" w:type="dxa"/>
            <w:vAlign w:val="center"/>
          </w:tcPr>
          <w:p>
            <w:pPr>
              <w:jc w:val="center"/>
              <w:rPr>
                <w:rFonts w:hint="default"/>
                <w:b/>
                <w:bCs/>
                <w:vertAlign w:val="baseline"/>
                <w:lang w:val="en-US" w:eastAsia="zh-CN"/>
              </w:rPr>
            </w:pPr>
          </w:p>
        </w:tc>
        <w:tc>
          <w:tcPr>
            <w:tcW w:w="911" w:type="dxa"/>
            <w:vAlign w:val="center"/>
          </w:tcPr>
          <w:p>
            <w:pPr>
              <w:jc w:val="center"/>
              <w:rPr>
                <w:rFonts w:hint="default"/>
                <w:b/>
                <w:bCs/>
                <w:vertAlign w:val="baseline"/>
                <w:lang w:val="en-US" w:eastAsia="zh-CN"/>
              </w:rPr>
            </w:pPr>
            <w:r>
              <w:rPr>
                <w:rFonts w:hint="eastAsia"/>
                <w:b/>
                <w:bCs/>
                <w:vertAlign w:val="baseline"/>
                <w:lang w:val="en-US" w:eastAsia="zh-CN"/>
              </w:rPr>
              <w:t>1672.15</w:t>
            </w:r>
          </w:p>
        </w:tc>
        <w:tc>
          <w:tcPr>
            <w:tcW w:w="1215" w:type="dxa"/>
            <w:vAlign w:val="center"/>
          </w:tcPr>
          <w:p>
            <w:pPr>
              <w:jc w:val="center"/>
              <w:rPr>
                <w:rFonts w:hint="default"/>
                <w:b/>
                <w:bCs/>
                <w:vertAlign w:val="baseline"/>
                <w:lang w:val="en-US" w:eastAsia="zh-CN"/>
              </w:rPr>
            </w:pPr>
            <w:r>
              <w:rPr>
                <w:rFonts w:hint="eastAsia"/>
                <w:b/>
                <w:bCs/>
                <w:vertAlign w:val="baseline"/>
                <w:lang w:val="en-US" w:eastAsia="zh-CN"/>
              </w:rPr>
              <w:t>867.91</w:t>
            </w:r>
          </w:p>
        </w:tc>
        <w:tc>
          <w:tcPr>
            <w:tcW w:w="1034" w:type="dxa"/>
            <w:vAlign w:val="center"/>
          </w:tcPr>
          <w:p>
            <w:pPr>
              <w:jc w:val="center"/>
              <w:rPr>
                <w:rFonts w:hint="default"/>
                <w:b/>
                <w:bCs/>
                <w:vertAlign w:val="baseline"/>
                <w:lang w:val="en-US" w:eastAsia="zh-CN"/>
              </w:rPr>
            </w:pPr>
            <w:r>
              <w:rPr>
                <w:rFonts w:hint="eastAsia"/>
                <w:b/>
                <w:bCs/>
                <w:vertAlign w:val="baseline"/>
                <w:lang w:val="en-US" w:eastAsia="zh-CN"/>
              </w:rPr>
              <w:t>0</w:t>
            </w:r>
          </w:p>
        </w:tc>
        <w:tc>
          <w:tcPr>
            <w:tcW w:w="1099" w:type="dxa"/>
            <w:vAlign w:val="center"/>
          </w:tcPr>
          <w:p>
            <w:pPr>
              <w:jc w:val="center"/>
              <w:rPr>
                <w:rFonts w:hint="default"/>
                <w:b/>
                <w:bCs/>
                <w:vertAlign w:val="baseline"/>
                <w:lang w:val="en-US" w:eastAsia="zh-CN"/>
              </w:rPr>
            </w:pPr>
            <w:r>
              <w:rPr>
                <w:rFonts w:hint="eastAsia"/>
                <w:b/>
                <w:bCs/>
                <w:vertAlign w:val="baseline"/>
                <w:lang w:val="en-US" w:eastAsia="zh-CN"/>
              </w:rPr>
              <w:t>1068.23</w:t>
            </w:r>
          </w:p>
        </w:tc>
        <w:tc>
          <w:tcPr>
            <w:tcW w:w="1135" w:type="dxa"/>
            <w:vAlign w:val="center"/>
          </w:tcPr>
          <w:p>
            <w:pPr>
              <w:jc w:val="center"/>
              <w:rPr>
                <w:rFonts w:hint="default"/>
                <w:b/>
                <w:bCs/>
                <w:vertAlign w:val="baseline"/>
                <w:lang w:val="en-US" w:eastAsia="zh-CN"/>
              </w:rPr>
            </w:pPr>
            <w:r>
              <w:rPr>
                <w:rFonts w:hint="eastAsia"/>
                <w:b/>
                <w:bCs/>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1169" w:type="dxa"/>
            <w:vMerge w:val="restart"/>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659</w:t>
            </w:r>
          </w:p>
        </w:tc>
        <w:tc>
          <w:tcPr>
            <w:tcW w:w="43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国家林业和草原局穿山甲保护研究中心新建项目山下地块环境影响评估</w:t>
            </w:r>
          </w:p>
        </w:tc>
        <w:tc>
          <w:tcPr>
            <w:tcW w:w="25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广州珠水生态环境技术有限公司</w:t>
            </w:r>
          </w:p>
        </w:tc>
        <w:tc>
          <w:tcPr>
            <w:tcW w:w="91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0.95</w:t>
            </w:r>
          </w:p>
        </w:tc>
        <w:tc>
          <w:tcPr>
            <w:tcW w:w="1034"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9.5</w:t>
            </w:r>
          </w:p>
        </w:tc>
        <w:tc>
          <w:tcPr>
            <w:tcW w:w="1135"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国家林业和草原局穿山甲保护研究中心新建项目山下地块地质灾害危险性评估</w:t>
            </w:r>
          </w:p>
        </w:tc>
        <w:tc>
          <w:tcPr>
            <w:tcW w:w="2502"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中国建筑材料工业地质勘查中心广东总队</w:t>
            </w:r>
          </w:p>
        </w:tc>
        <w:tc>
          <w:tcPr>
            <w:tcW w:w="911"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9.7</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0.97</w:t>
            </w:r>
          </w:p>
        </w:tc>
        <w:tc>
          <w:tcPr>
            <w:tcW w:w="1034" w:type="dxa"/>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9.7</w:t>
            </w:r>
          </w:p>
        </w:tc>
        <w:tc>
          <w:tcPr>
            <w:tcW w:w="1135" w:type="dxa"/>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国家林业和草原局穿山甲保护研究中心项目设计</w:t>
            </w:r>
          </w:p>
        </w:tc>
        <w:tc>
          <w:tcPr>
            <w:tcW w:w="2502"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广东省建科建筑设计院有限公司</w:t>
            </w:r>
          </w:p>
        </w:tc>
        <w:tc>
          <w:tcPr>
            <w:tcW w:w="911"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582.2</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349.32</w:t>
            </w:r>
          </w:p>
        </w:tc>
        <w:tc>
          <w:tcPr>
            <w:tcW w:w="1034" w:type="dxa"/>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523.98</w:t>
            </w:r>
          </w:p>
        </w:tc>
        <w:tc>
          <w:tcPr>
            <w:tcW w:w="1135" w:type="dxa"/>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国家林业和草原局穿山甲保护研究中心新建项目山上地块土规规模报告编制</w:t>
            </w:r>
          </w:p>
        </w:tc>
        <w:tc>
          <w:tcPr>
            <w:tcW w:w="2502"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广东思为规划设计有限公司</w:t>
            </w:r>
          </w:p>
        </w:tc>
        <w:tc>
          <w:tcPr>
            <w:tcW w:w="911"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14</w:t>
            </w:r>
          </w:p>
        </w:tc>
        <w:tc>
          <w:tcPr>
            <w:tcW w:w="1034" w:type="dxa"/>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20</w:t>
            </w:r>
          </w:p>
        </w:tc>
        <w:tc>
          <w:tcPr>
            <w:tcW w:w="1135" w:type="dxa"/>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建设工程委托监理</w:t>
            </w:r>
          </w:p>
        </w:tc>
        <w:tc>
          <w:tcPr>
            <w:tcW w:w="25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广州市城市建设工程监理有限公司</w:t>
            </w:r>
          </w:p>
        </w:tc>
        <w:tc>
          <w:tcPr>
            <w:tcW w:w="91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2.4</w:t>
            </w:r>
          </w:p>
        </w:tc>
        <w:tc>
          <w:tcPr>
            <w:tcW w:w="1034"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4.8</w:t>
            </w:r>
          </w:p>
        </w:tc>
        <w:tc>
          <w:tcPr>
            <w:tcW w:w="1135"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国家林业和草原局穿山甲保护研究中心项目山下地块历史建筑竣工图绘制工程</w:t>
            </w:r>
          </w:p>
        </w:tc>
        <w:tc>
          <w:tcPr>
            <w:tcW w:w="25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广东省轻纺建筑设计院有限公司</w:t>
            </w:r>
          </w:p>
        </w:tc>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4.85</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4.85</w:t>
            </w:r>
          </w:p>
        </w:tc>
        <w:tc>
          <w:tcPr>
            <w:tcW w:w="1034" w:type="dxa"/>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4.85</w:t>
            </w:r>
          </w:p>
        </w:tc>
        <w:tc>
          <w:tcPr>
            <w:tcW w:w="1135" w:type="dxa"/>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国家林业和草原局穿山甲保护研究中心项目山下地块历史建筑现状测量</w:t>
            </w:r>
          </w:p>
        </w:tc>
        <w:tc>
          <w:tcPr>
            <w:tcW w:w="25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广州市城市规划勘测设计研究院有限公司</w:t>
            </w:r>
          </w:p>
        </w:tc>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6.16</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6.16</w:t>
            </w:r>
          </w:p>
        </w:tc>
        <w:tc>
          <w:tcPr>
            <w:tcW w:w="1034" w:type="dxa"/>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6.16</w:t>
            </w:r>
          </w:p>
        </w:tc>
        <w:tc>
          <w:tcPr>
            <w:tcW w:w="1135" w:type="dxa"/>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国家林业和草原局穿山甲保护研究中心新建项目（山下地块）控制性详细规划调整</w:t>
            </w:r>
          </w:p>
        </w:tc>
        <w:tc>
          <w:tcPr>
            <w:tcW w:w="25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广东省建科建筑设计院有限公司</w:t>
            </w:r>
          </w:p>
        </w:tc>
        <w:tc>
          <w:tcPr>
            <w:tcW w:w="91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57</w:t>
            </w:r>
          </w:p>
        </w:tc>
        <w:tc>
          <w:tcPr>
            <w:tcW w:w="1034"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57</w:t>
            </w:r>
          </w:p>
        </w:tc>
        <w:tc>
          <w:tcPr>
            <w:tcW w:w="1135"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国家林业和草原局穿山甲保护研究中心山上、山下地块1:500现状地形图测量工作</w:t>
            </w:r>
          </w:p>
        </w:tc>
        <w:tc>
          <w:tcPr>
            <w:tcW w:w="25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广州市城市规划勘测设计研究院有限公司</w:t>
            </w:r>
          </w:p>
        </w:tc>
        <w:tc>
          <w:tcPr>
            <w:tcW w:w="91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19.59</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19.59</w:t>
            </w:r>
          </w:p>
        </w:tc>
        <w:tc>
          <w:tcPr>
            <w:tcW w:w="1034"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19.59</w:t>
            </w:r>
          </w:p>
        </w:tc>
        <w:tc>
          <w:tcPr>
            <w:tcW w:w="1135"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穿山甲保护研究中心项目“山上地块”林木采伐作业设计</w:t>
            </w:r>
          </w:p>
        </w:tc>
        <w:tc>
          <w:tcPr>
            <w:tcW w:w="25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广东省岭南勘察设计有限公司</w:t>
            </w:r>
          </w:p>
        </w:tc>
        <w:tc>
          <w:tcPr>
            <w:tcW w:w="91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9.8</w:t>
            </w:r>
          </w:p>
        </w:tc>
        <w:tc>
          <w:tcPr>
            <w:tcW w:w="1034"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9.8</w:t>
            </w:r>
          </w:p>
        </w:tc>
        <w:tc>
          <w:tcPr>
            <w:tcW w:w="1135"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11</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林木采伐作业造价咨询项目</w:t>
            </w:r>
          </w:p>
        </w:tc>
        <w:tc>
          <w:tcPr>
            <w:tcW w:w="25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广东恒沣工程管理有限公司</w:t>
            </w:r>
          </w:p>
        </w:tc>
        <w:tc>
          <w:tcPr>
            <w:tcW w:w="91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0.3</w:t>
            </w:r>
          </w:p>
        </w:tc>
        <w:tc>
          <w:tcPr>
            <w:tcW w:w="1034"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0.3</w:t>
            </w:r>
          </w:p>
        </w:tc>
        <w:tc>
          <w:tcPr>
            <w:tcW w:w="1135"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12</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土壤氡检测</w:t>
            </w:r>
          </w:p>
        </w:tc>
        <w:tc>
          <w:tcPr>
            <w:tcW w:w="25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广东华清生态环境有限公司</w:t>
            </w:r>
          </w:p>
        </w:tc>
        <w:tc>
          <w:tcPr>
            <w:tcW w:w="91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9.81</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9.81</w:t>
            </w:r>
          </w:p>
        </w:tc>
        <w:tc>
          <w:tcPr>
            <w:tcW w:w="1034"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9.81</w:t>
            </w:r>
          </w:p>
        </w:tc>
        <w:tc>
          <w:tcPr>
            <w:tcW w:w="1135"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13</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国家林业和草原局穿山甲保护研究中心地质灾害危险性评估技术服务</w:t>
            </w:r>
          </w:p>
        </w:tc>
        <w:tc>
          <w:tcPr>
            <w:tcW w:w="25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中国建筑材料工业地质勘查中心广东总队</w:t>
            </w:r>
          </w:p>
        </w:tc>
        <w:tc>
          <w:tcPr>
            <w:tcW w:w="91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18</w:t>
            </w:r>
          </w:p>
        </w:tc>
        <w:tc>
          <w:tcPr>
            <w:tcW w:w="1034"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18</w:t>
            </w:r>
          </w:p>
        </w:tc>
        <w:tc>
          <w:tcPr>
            <w:tcW w:w="1135"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14</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国家林业和草原局穿山甲保护研究中心山上地块建设范围内的林木进行采伐</w:t>
            </w:r>
          </w:p>
        </w:tc>
        <w:tc>
          <w:tcPr>
            <w:tcW w:w="25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友宜（广州）园林绿化工程有限公司</w:t>
            </w:r>
          </w:p>
        </w:tc>
        <w:tc>
          <w:tcPr>
            <w:tcW w:w="91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42.99</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42.99</w:t>
            </w:r>
          </w:p>
        </w:tc>
        <w:tc>
          <w:tcPr>
            <w:tcW w:w="1034"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42.99</w:t>
            </w:r>
          </w:p>
        </w:tc>
        <w:tc>
          <w:tcPr>
            <w:tcW w:w="1135"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15</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国家林业和草原局穿山甲保护研究中心项目施工图审查</w:t>
            </w:r>
          </w:p>
        </w:tc>
        <w:tc>
          <w:tcPr>
            <w:tcW w:w="25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广东冶建施工图审查中心有限公司</w:t>
            </w:r>
          </w:p>
        </w:tc>
        <w:tc>
          <w:tcPr>
            <w:tcW w:w="9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37.53</w:t>
            </w:r>
          </w:p>
        </w:tc>
        <w:tc>
          <w:tcPr>
            <w:tcW w:w="1215"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37.53</w:t>
            </w:r>
          </w:p>
        </w:tc>
        <w:tc>
          <w:tcPr>
            <w:tcW w:w="1034" w:type="dxa"/>
            <w:shd w:val="clear" w:color="auto" w:fill="auto"/>
            <w:vAlign w:val="center"/>
          </w:tcPr>
          <w:p>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0</w:t>
            </w:r>
          </w:p>
        </w:tc>
        <w:tc>
          <w:tcPr>
            <w:tcW w:w="1099"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37.53</w:t>
            </w:r>
          </w:p>
        </w:tc>
        <w:tc>
          <w:tcPr>
            <w:tcW w:w="1135" w:type="dxa"/>
            <w:shd w:val="clear" w:color="auto" w:fill="auto"/>
            <w:vAlign w:val="center"/>
          </w:tcPr>
          <w:p>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16</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国家林业和草原局穿山甲保护研究中心山下部分地质勘察服务</w:t>
            </w:r>
          </w:p>
        </w:tc>
        <w:tc>
          <w:tcPr>
            <w:tcW w:w="25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建材广州工程勘测院有限公司</w:t>
            </w:r>
          </w:p>
        </w:tc>
        <w:tc>
          <w:tcPr>
            <w:tcW w:w="9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24.1</w:t>
            </w:r>
          </w:p>
        </w:tc>
        <w:tc>
          <w:tcPr>
            <w:tcW w:w="1215"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19.28</w:t>
            </w:r>
          </w:p>
        </w:tc>
        <w:tc>
          <w:tcPr>
            <w:tcW w:w="1034" w:type="dxa"/>
            <w:shd w:val="clear" w:color="auto" w:fill="auto"/>
            <w:vAlign w:val="center"/>
          </w:tcPr>
          <w:p>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0</w:t>
            </w:r>
          </w:p>
        </w:tc>
        <w:tc>
          <w:tcPr>
            <w:tcW w:w="1099"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19.28</w:t>
            </w:r>
          </w:p>
        </w:tc>
        <w:tc>
          <w:tcPr>
            <w:tcW w:w="1135" w:type="dxa"/>
            <w:shd w:val="clear" w:color="auto" w:fill="auto"/>
            <w:vAlign w:val="center"/>
          </w:tcPr>
          <w:p>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17</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国家林业和草原局穿山甲保护研究中心水土保持方案编制服务项目</w:t>
            </w:r>
          </w:p>
        </w:tc>
        <w:tc>
          <w:tcPr>
            <w:tcW w:w="25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广州珠水生态环境技术有限公司</w:t>
            </w:r>
          </w:p>
        </w:tc>
        <w:tc>
          <w:tcPr>
            <w:tcW w:w="9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215"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9</w:t>
            </w:r>
          </w:p>
        </w:tc>
        <w:tc>
          <w:tcPr>
            <w:tcW w:w="1034" w:type="dxa"/>
            <w:shd w:val="clear" w:color="auto" w:fill="auto"/>
            <w:vAlign w:val="center"/>
          </w:tcPr>
          <w:p>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0</w:t>
            </w:r>
          </w:p>
        </w:tc>
        <w:tc>
          <w:tcPr>
            <w:tcW w:w="1099"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9</w:t>
            </w:r>
          </w:p>
        </w:tc>
        <w:tc>
          <w:tcPr>
            <w:tcW w:w="1135" w:type="dxa"/>
            <w:shd w:val="clear" w:color="auto" w:fill="auto"/>
            <w:vAlign w:val="center"/>
          </w:tcPr>
          <w:p>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18</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国家林业和草原局穿山甲保护研究中心新建项目用地报批组卷、批后实施及土地划拨（工作技术服务）</w:t>
            </w:r>
          </w:p>
        </w:tc>
        <w:tc>
          <w:tcPr>
            <w:tcW w:w="25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广州市城市规划勘测设计研究院有限公司</w:t>
            </w:r>
          </w:p>
        </w:tc>
        <w:tc>
          <w:tcPr>
            <w:tcW w:w="9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28.32</w:t>
            </w:r>
          </w:p>
        </w:tc>
        <w:tc>
          <w:tcPr>
            <w:tcW w:w="1215"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14.16</w:t>
            </w:r>
          </w:p>
        </w:tc>
        <w:tc>
          <w:tcPr>
            <w:tcW w:w="1034" w:type="dxa"/>
            <w:shd w:val="clear" w:color="auto" w:fill="auto"/>
            <w:vAlign w:val="center"/>
          </w:tcPr>
          <w:p>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0</w:t>
            </w:r>
          </w:p>
        </w:tc>
        <w:tc>
          <w:tcPr>
            <w:tcW w:w="1099"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14.16</w:t>
            </w:r>
          </w:p>
        </w:tc>
        <w:tc>
          <w:tcPr>
            <w:tcW w:w="1135" w:type="dxa"/>
            <w:shd w:val="clear" w:color="auto" w:fill="auto"/>
            <w:vAlign w:val="center"/>
          </w:tcPr>
          <w:p>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19</w:t>
            </w:r>
          </w:p>
        </w:tc>
        <w:tc>
          <w:tcPr>
            <w:tcW w:w="1169" w:type="dxa"/>
            <w:vMerge w:val="continue"/>
            <w:vAlign w:val="center"/>
          </w:tcPr>
          <w:p>
            <w:pPr>
              <w:jc w:val="center"/>
              <w:rPr>
                <w:rFonts w:hint="eastAsia" w:ascii="宋体" w:hAnsi="宋体" w:eastAsia="宋体" w:cs="宋体"/>
                <w:sz w:val="22"/>
                <w:szCs w:val="22"/>
                <w:vertAlign w:val="baseline"/>
                <w:lang w:val="en-US" w:eastAsia="zh-CN"/>
              </w:rPr>
            </w:pPr>
          </w:p>
        </w:tc>
        <w:tc>
          <w:tcPr>
            <w:tcW w:w="43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国家林业和草原局穿山甲保护研究中心项目“山上地块”勘测定界及土地权属登记前相关测绘技术服务</w:t>
            </w:r>
          </w:p>
        </w:tc>
        <w:tc>
          <w:tcPr>
            <w:tcW w:w="25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广州市城市规划勘测设计研究院有限公司</w:t>
            </w:r>
          </w:p>
        </w:tc>
        <w:tc>
          <w:tcPr>
            <w:tcW w:w="9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69.78</w:t>
            </w:r>
          </w:p>
        </w:tc>
        <w:tc>
          <w:tcPr>
            <w:tcW w:w="1215"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41.86</w:t>
            </w:r>
          </w:p>
        </w:tc>
        <w:tc>
          <w:tcPr>
            <w:tcW w:w="1034" w:type="dxa"/>
            <w:shd w:val="clear" w:color="auto" w:fill="auto"/>
            <w:vAlign w:val="center"/>
          </w:tcPr>
          <w:p>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0</w:t>
            </w:r>
          </w:p>
        </w:tc>
        <w:tc>
          <w:tcPr>
            <w:tcW w:w="1099"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41.86</w:t>
            </w:r>
          </w:p>
        </w:tc>
        <w:tc>
          <w:tcPr>
            <w:tcW w:w="1135" w:type="dxa"/>
            <w:shd w:val="clear" w:color="auto" w:fill="auto"/>
            <w:vAlign w:val="center"/>
          </w:tcPr>
          <w:p>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20</w:t>
            </w:r>
          </w:p>
        </w:tc>
        <w:tc>
          <w:tcPr>
            <w:tcW w:w="1169"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450</w:t>
            </w:r>
          </w:p>
        </w:tc>
        <w:tc>
          <w:tcPr>
            <w:tcW w:w="43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国家林业和草原局穿山甲保护研究中心项目工程建设全过程咨询服务</w:t>
            </w:r>
          </w:p>
        </w:tc>
        <w:tc>
          <w:tcPr>
            <w:tcW w:w="25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广东省国际工程咨询有限公司</w:t>
            </w:r>
          </w:p>
        </w:tc>
        <w:tc>
          <w:tcPr>
            <w:tcW w:w="91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699.72</w:t>
            </w:r>
          </w:p>
        </w:tc>
        <w:tc>
          <w:tcPr>
            <w:tcW w:w="1215"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209.92</w:t>
            </w:r>
          </w:p>
        </w:tc>
        <w:tc>
          <w:tcPr>
            <w:tcW w:w="1034"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c>
          <w:tcPr>
            <w:tcW w:w="1099"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209.92</w:t>
            </w:r>
          </w:p>
        </w:tc>
        <w:tc>
          <w:tcPr>
            <w:tcW w:w="1135" w:type="dxa"/>
            <w:vAlign w:val="center"/>
          </w:tcPr>
          <w:p>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0</w:t>
            </w:r>
          </w:p>
        </w:tc>
      </w:tr>
    </w:tbl>
    <w:p>
      <w:pPr>
        <w:jc w:val="left"/>
        <w:rPr>
          <w:rFonts w:hint="default"/>
          <w:lang w:val="en-US" w:eastAsia="zh-CN"/>
        </w:rPr>
      </w:pPr>
      <w:r>
        <w:rPr>
          <w:rFonts w:hint="eastAsia"/>
          <w:lang w:val="en-US" w:eastAsia="zh-CN"/>
        </w:rPr>
        <w:t>备注：财政支付金额包括中央财政和省财政</w:t>
      </w:r>
    </w:p>
    <w:sectPr>
      <w:pgSz w:w="16838" w:h="11906" w:orient="landscape"/>
      <w:pgMar w:top="16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OThiNWVhMzYzZGE5OTI1ODM4ZjBiM2EzMGE4ZTAifQ=="/>
  </w:docVars>
  <w:rsids>
    <w:rsidRoot w:val="1703208D"/>
    <w:rsid w:val="05D709B3"/>
    <w:rsid w:val="098269A5"/>
    <w:rsid w:val="1584131B"/>
    <w:rsid w:val="159D5775"/>
    <w:rsid w:val="1703208D"/>
    <w:rsid w:val="1C512E14"/>
    <w:rsid w:val="1EA24F44"/>
    <w:rsid w:val="29B452B6"/>
    <w:rsid w:val="2D0F08AF"/>
    <w:rsid w:val="30A76004"/>
    <w:rsid w:val="335165AE"/>
    <w:rsid w:val="348F514A"/>
    <w:rsid w:val="34E779E0"/>
    <w:rsid w:val="35894E8B"/>
    <w:rsid w:val="3AC02C30"/>
    <w:rsid w:val="4CBB4FF1"/>
    <w:rsid w:val="4CC47D44"/>
    <w:rsid w:val="4E425E11"/>
    <w:rsid w:val="51087240"/>
    <w:rsid w:val="58D02D39"/>
    <w:rsid w:val="5BA04C44"/>
    <w:rsid w:val="60487659"/>
    <w:rsid w:val="6D284A9A"/>
    <w:rsid w:val="6EA50F04"/>
    <w:rsid w:val="73A42274"/>
    <w:rsid w:val="73D4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1108</Words>
  <Characters>1319</Characters>
  <Lines>0</Lines>
  <Paragraphs>0</Paragraphs>
  <TotalTime>1</TotalTime>
  <ScaleCrop>false</ScaleCrop>
  <LinksUpToDate>false</LinksUpToDate>
  <CharactersWithSpaces>1440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2024-02-19T08:15:00Z</dcterms:created>
  <dc:creator>静</dc:creator>
  <cp:lastModifiedBy>梁海燕</cp:lastModifiedBy>
  <dcterms:modified xsi:type="dcterms:W3CDTF">2025-02-11T01:31:20Z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2FA118222C2D4824BFE6C90423825602_13</vt:lpwstr>
  </property>
  <property fmtid="{D5CDD505-2E9C-101B-9397-08002B2CF9AE}" pid="4" name="KSOTemplateDocerSaveRecord">
    <vt:lpwstr>eyJoZGlkIjoiNWE4ZmZjYzdkMjA0ZjBkZmI2YTI0OGQ2NDU2YmRlNzYiLCJ1c2VySWQiOiIzMzExMzQ3NzUifQ==</vt:lpwstr>
  </property>
</Properties>
</file>