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28"/>
          <w:szCs w:val="36"/>
          <w:lang w:val="en-US" w:eastAsia="zh-CN"/>
        </w:rPr>
      </w:pPr>
      <w:r>
        <w:rPr>
          <w:rFonts w:hint="eastAsia" w:ascii="黑体" w:hAnsi="黑体" w:eastAsia="黑体" w:cs="黑体"/>
          <w:sz w:val="28"/>
          <w:szCs w:val="36"/>
          <w:lang w:eastAsia="zh-CN"/>
        </w:rPr>
        <w:t>附件</w:t>
      </w:r>
      <w:r>
        <w:rPr>
          <w:rFonts w:hint="eastAsia" w:ascii="黑体" w:hAnsi="黑体" w:eastAsia="黑体" w:cs="黑体"/>
          <w:sz w:val="28"/>
          <w:szCs w:val="36"/>
          <w:lang w:val="en-US" w:eastAsia="zh-CN"/>
        </w:rPr>
        <w:t>1</w:t>
      </w:r>
    </w:p>
    <w:p>
      <w:pPr>
        <w:keepNext w:val="0"/>
        <w:keepLines w:val="0"/>
        <w:pageBreakBefore w:val="0"/>
        <w:widowControl/>
        <w:shd w:val="clear" w:color="auto" w:fill="auto"/>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广东连江龙牙峡水产种质资源省级自然保护区范围和功能区调整情况</w:t>
      </w:r>
    </w:p>
    <w:p>
      <w:pPr>
        <w:pStyle w:val="2"/>
        <w:rPr>
          <w:rFonts w:hint="eastAsia"/>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10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保护区名称</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lang w:eastAsia="zh-CN"/>
              </w:rPr>
              <w:t>广东连江龙牙峡水产种质资源省级自然保护区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地理位置</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vertAlign w:val="baseline"/>
                <w:lang w:val="en-US" w:eastAsia="zh-CN" w:bidi="ar-SA"/>
              </w:rPr>
            </w:pPr>
            <w:r>
              <w:rPr>
                <w:rFonts w:hint="default" w:ascii="Times New Roman" w:hAnsi="Times New Roman" w:eastAsia="仿宋" w:cs="Times New Roman"/>
                <w:sz w:val="28"/>
                <w:szCs w:val="28"/>
                <w:vertAlign w:val="baseline"/>
                <w:lang w:val="en-US" w:eastAsia="zh-CN"/>
              </w:rPr>
              <w:t>清远市阳山县、连州市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numPr>
                <w:ilvl w:val="-1"/>
                <w:numId w:val="0"/>
              </w:numPr>
              <w:kinsoku/>
              <w:wordWrap/>
              <w:overflowPunct/>
              <w:topLinePunct w:val="0"/>
              <w:autoSpaceDE/>
              <w:autoSpaceDN/>
              <w:bidi w:val="0"/>
              <w:snapToGrid w:val="0"/>
              <w:spacing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主要保护对象</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vertAlign w:val="baseline"/>
                <w:lang w:val="en-US" w:eastAsia="zh-CN" w:bidi="ar-SA"/>
              </w:rPr>
            </w:pPr>
            <w:r>
              <w:rPr>
                <w:rFonts w:hint="default" w:ascii="Times New Roman" w:hAnsi="Times New Roman" w:eastAsia="仿宋" w:cs="Times New Roman"/>
                <w:sz w:val="28"/>
                <w:szCs w:val="28"/>
                <w:lang w:val="en-US" w:eastAsia="zh-CN"/>
              </w:rPr>
              <w:t>连江水系特有鱼类和珍稀鱼类、水产种质资源及其所在的生态系统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调整类型</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vertAlign w:val="baseline"/>
                <w:lang w:val="en-US" w:eastAsia="zh-CN" w:bidi="ar-SA"/>
              </w:rPr>
            </w:pPr>
            <w:r>
              <w:rPr>
                <w:rFonts w:hint="default" w:ascii="Times New Roman" w:hAnsi="Times New Roman" w:eastAsia="仿宋" w:cs="Times New Roman"/>
                <w:sz w:val="28"/>
                <w:szCs w:val="28"/>
                <w:vertAlign w:val="baseline"/>
                <w:lang w:val="en-US" w:eastAsia="zh-CN"/>
              </w:rPr>
              <w:t>范围和功能区调整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numPr>
                <w:ilvl w:val="-1"/>
                <w:numId w:val="0"/>
              </w:numPr>
              <w:kinsoku/>
              <w:wordWrap/>
              <w:overflowPunct/>
              <w:topLinePunct w:val="0"/>
              <w:autoSpaceDE/>
              <w:autoSpaceDN/>
              <w:bidi w:val="0"/>
              <w:snapToGrid w:val="0"/>
              <w:spacing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调整原因</w:t>
            </w:r>
          </w:p>
        </w:tc>
        <w:tc>
          <w:tcPr>
            <w:tcW w:w="10723" w:type="dxa"/>
            <w:vAlign w:val="center"/>
          </w:tcPr>
          <w:p>
            <w:pPr>
              <w:pStyle w:val="2"/>
              <w:keepNext w:val="0"/>
              <w:keepLines w:val="0"/>
              <w:pageBreakBefore w:val="0"/>
              <w:widowControl w:val="0"/>
              <w:numPr>
                <w:ilvl w:val="0"/>
                <w:numId w:val="1"/>
              </w:numPr>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清远市阳山县青莲镇峡头大桥新建工程</w:t>
            </w:r>
            <w:r>
              <w:rPr>
                <w:rFonts w:hint="default" w:ascii="Times New Roman" w:hAnsi="Times New Roman" w:eastAsia="仿宋" w:cs="Times New Roman"/>
                <w:sz w:val="28"/>
                <w:szCs w:val="28"/>
                <w:highlight w:val="none"/>
                <w:lang w:eastAsia="zh-CN"/>
              </w:rPr>
              <w:t>；</w:t>
            </w:r>
          </w:p>
          <w:p>
            <w:pPr>
              <w:pStyle w:val="2"/>
              <w:keepNext w:val="0"/>
              <w:keepLines w:val="0"/>
              <w:pageBreakBefore w:val="0"/>
              <w:widowControl w:val="0"/>
              <w:numPr>
                <w:ilvl w:val="0"/>
                <w:numId w:val="1"/>
              </w:numPr>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highlight w:val="none"/>
                <w:vertAlign w:val="baseline"/>
                <w:lang w:val="en-US" w:eastAsia="zh-CN" w:bidi="ar-SA"/>
              </w:rPr>
            </w:pPr>
            <w:r>
              <w:rPr>
                <w:rFonts w:hint="default" w:ascii="Times New Roman" w:hAnsi="Times New Roman" w:eastAsia="仿宋" w:cs="Times New Roman"/>
                <w:sz w:val="28"/>
                <w:szCs w:val="28"/>
                <w:highlight w:val="none"/>
                <w:lang w:val="en-US" w:eastAsia="zh-CN"/>
              </w:rPr>
              <w:t>连州市X389线龙潭大桥及G323线和G537</w:t>
            </w:r>
            <w:bookmarkStart w:id="0" w:name="_GoBack"/>
            <w:bookmarkEnd w:id="0"/>
            <w:r>
              <w:rPr>
                <w:rFonts w:hint="default" w:ascii="Times New Roman" w:hAnsi="Times New Roman" w:eastAsia="仿宋" w:cs="Times New Roman"/>
                <w:sz w:val="28"/>
                <w:szCs w:val="28"/>
                <w:highlight w:val="none"/>
                <w:lang w:val="en-US" w:eastAsia="zh-CN"/>
              </w:rPr>
              <w:t>线交通安全文明示范路工程</w:t>
            </w:r>
            <w:r>
              <w:rPr>
                <w:rFonts w:hint="eastAsia" w:ascii="Times New Roman" w:hAnsi="Times New Roman" w:eastAsia="仿宋" w:cs="Times New Roman"/>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numPr>
                <w:ilvl w:val="-1"/>
                <w:numId w:val="0"/>
              </w:numPr>
              <w:kinsoku/>
              <w:wordWrap/>
              <w:overflowPunct/>
              <w:topLinePunct w:val="0"/>
              <w:autoSpaceDE/>
              <w:autoSpaceDN/>
              <w:bidi w:val="0"/>
              <w:snapToGrid w:val="0"/>
              <w:spacing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原三区面积</w:t>
            </w:r>
          </w:p>
        </w:tc>
        <w:tc>
          <w:tcPr>
            <w:tcW w:w="10723" w:type="dxa"/>
            <w:vAlign w:val="center"/>
          </w:tcPr>
          <w:p>
            <w:pPr>
              <w:pStyle w:val="2"/>
              <w:keepNext w:val="0"/>
              <w:keepLines w:val="0"/>
              <w:pageBreakBefore w:val="0"/>
              <w:widowControl w:val="0"/>
              <w:numPr>
                <w:ilvl w:val="-1"/>
                <w:numId w:val="0"/>
              </w:numPr>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0"/>
                <w:sz w:val="28"/>
                <w:szCs w:val="28"/>
                <w:vertAlign w:val="baseline"/>
                <w:lang w:val="en-US" w:eastAsia="zh-CN"/>
              </w:rPr>
            </w:pPr>
            <w:r>
              <w:rPr>
                <w:rFonts w:hint="default" w:ascii="Times New Roman" w:hAnsi="Times New Roman" w:eastAsia="仿宋" w:cs="Times New Roman"/>
                <w:kern w:val="0"/>
                <w:sz w:val="28"/>
                <w:szCs w:val="28"/>
                <w:vertAlign w:val="baseline"/>
                <w:lang w:val="en-US" w:eastAsia="zh-CN"/>
              </w:rPr>
              <w:t>总面积1671.90公顷；核心区251.45公顷，缓冲区745.70公顷，实验区674.75公顷。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调整后三区面积</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vertAlign w:val="baseline"/>
                <w:lang w:val="en-US" w:eastAsia="zh-CN" w:bidi="ar-SA"/>
              </w:rPr>
            </w:pPr>
            <w:r>
              <w:rPr>
                <w:rFonts w:hint="default" w:ascii="Times New Roman" w:hAnsi="Times New Roman" w:eastAsia="仿宋" w:cs="Times New Roman"/>
                <w:sz w:val="28"/>
                <w:szCs w:val="28"/>
                <w:vertAlign w:val="baseline"/>
                <w:lang w:val="en-US" w:eastAsia="zh-CN"/>
              </w:rPr>
              <w:t>总面积1672.10公顷；核心区501.78公顷，缓冲区553.42公顷，实验区616.90公顷。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调整后</w:t>
            </w:r>
            <w:r>
              <w:rPr>
                <w:rFonts w:hint="default" w:ascii="黑体" w:hAnsi="黑体" w:eastAsia="黑体" w:cs="黑体"/>
                <w:sz w:val="28"/>
                <w:szCs w:val="28"/>
                <w:vertAlign w:val="baseline"/>
                <w:lang w:val="en-US" w:eastAsia="zh-CN"/>
              </w:rPr>
              <w:t>四至范围</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北纬</w:t>
            </w:r>
            <w:r>
              <w:rPr>
                <w:rFonts w:hint="eastAsia" w:ascii="Times New Roman" w:hAnsi="Times New Roman" w:eastAsia="仿宋" w:cs="Times New Roman"/>
                <w:sz w:val="28"/>
                <w:szCs w:val="28"/>
                <w:highlight w:val="none"/>
                <w:vertAlign w:val="baseline"/>
                <w:lang w:val="en-US" w:eastAsia="zh-CN"/>
              </w:rPr>
              <w:t>：</w:t>
            </w:r>
            <w:r>
              <w:rPr>
                <w:rFonts w:hint="default" w:ascii="Times New Roman" w:hAnsi="Times New Roman" w:eastAsia="仿宋" w:cs="Times New Roman"/>
                <w:sz w:val="28"/>
                <w:szCs w:val="28"/>
                <w:highlight w:val="none"/>
                <w:vertAlign w:val="baseline"/>
                <w:lang w:val="en-US" w:eastAsia="zh-CN"/>
              </w:rPr>
              <w:t>24°22′1.3″—24°48′6.8″</w:t>
            </w:r>
          </w:p>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highlight w:val="none"/>
                <w:vertAlign w:val="baseline"/>
                <w:lang w:val="en-US" w:eastAsia="zh-CN" w:bidi="ar-SA"/>
              </w:rPr>
            </w:pPr>
            <w:r>
              <w:rPr>
                <w:rFonts w:hint="default" w:ascii="Times New Roman" w:hAnsi="Times New Roman" w:eastAsia="仿宋" w:cs="Times New Roman"/>
                <w:sz w:val="28"/>
                <w:szCs w:val="28"/>
                <w:highlight w:val="none"/>
                <w:vertAlign w:val="baseline"/>
                <w:lang w:val="en-US" w:eastAsia="zh-CN"/>
              </w:rPr>
              <w:t>东经：112°21′48.6″—112°52′29.6″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黑体" w:hAnsi="黑体" w:eastAsia="黑体" w:cs="黑体"/>
                <w:sz w:val="28"/>
                <w:szCs w:val="28"/>
                <w:vertAlign w:val="baseline"/>
                <w:lang w:val="en-US" w:eastAsia="zh-CN"/>
              </w:rPr>
              <w:t>申报单位</w:t>
            </w:r>
          </w:p>
        </w:tc>
        <w:tc>
          <w:tcPr>
            <w:tcW w:w="10723" w:type="dxa"/>
            <w:vAlign w:val="center"/>
          </w:tcPr>
          <w:p>
            <w:pPr>
              <w:pStyle w:val="2"/>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仿宋" w:cs="Times New Roman"/>
                <w:kern w:val="2"/>
                <w:sz w:val="28"/>
                <w:szCs w:val="28"/>
                <w:vertAlign w:val="baseline"/>
                <w:lang w:val="en-US" w:eastAsia="zh-CN" w:bidi="ar-SA"/>
              </w:rPr>
            </w:pPr>
            <w:r>
              <w:rPr>
                <w:rFonts w:hint="eastAsia" w:ascii="Times New Roman" w:hAnsi="Times New Roman" w:eastAsia="仿宋" w:cs="Times New Roman"/>
                <w:sz w:val="28"/>
                <w:szCs w:val="28"/>
                <w:vertAlign w:val="baseline"/>
                <w:lang w:val="en-US" w:eastAsia="zh-CN"/>
              </w:rPr>
              <w:t>清远</w:t>
            </w:r>
            <w:r>
              <w:rPr>
                <w:rFonts w:hint="default" w:ascii="Times New Roman" w:hAnsi="Times New Roman" w:eastAsia="仿宋" w:cs="Times New Roman"/>
                <w:sz w:val="28"/>
                <w:szCs w:val="28"/>
                <w:vertAlign w:val="baseline"/>
                <w:lang w:val="en-US" w:eastAsia="zh-CN"/>
              </w:rPr>
              <w:t>市人民政府</w:t>
            </w:r>
          </w:p>
        </w:tc>
      </w:tr>
    </w:tbl>
    <w:p>
      <w:pPr>
        <w:pStyle w:val="2"/>
        <w:numPr>
          <w:ilvl w:val="-1"/>
          <w:numId w:val="0"/>
        </w:numPr>
        <w:rPr>
          <w:rFonts w:hint="default" w:ascii="仿宋_GB2312" w:hAnsi="仿宋_GB2312" w:eastAsia="仿宋_GB2312" w:cs="仿宋_GB2312"/>
          <w:kern w:val="0"/>
          <w:sz w:val="32"/>
          <w:szCs w:val="32"/>
          <w:lang w:val="en-US" w:eastAsia="zh-CN"/>
        </w:rPr>
      </w:pPr>
    </w:p>
    <w:sectPr>
      <w:pgSz w:w="16839" w:h="11907" w:orient="landscape"/>
      <w:pgMar w:top="1531" w:right="2098"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xi Sans">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DejaVu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29063"/>
    <w:multiLevelType w:val="singleLevel"/>
    <w:tmpl w:val="DEE290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0ZGFlYjA4NmNjNjA5MTllNjdhNDJiZmQxZWQyM2YifQ=="/>
  </w:docVars>
  <w:rsids>
    <w:rsidRoot w:val="004A340C"/>
    <w:rsid w:val="00321D53"/>
    <w:rsid w:val="00440193"/>
    <w:rsid w:val="004A340C"/>
    <w:rsid w:val="00506487"/>
    <w:rsid w:val="00672901"/>
    <w:rsid w:val="007E07A7"/>
    <w:rsid w:val="00B47B00"/>
    <w:rsid w:val="00BC3B1C"/>
    <w:rsid w:val="00BC5CB6"/>
    <w:rsid w:val="00BF35F9"/>
    <w:rsid w:val="00C746C6"/>
    <w:rsid w:val="00CC6067"/>
    <w:rsid w:val="00DF6CA8"/>
    <w:rsid w:val="04E61528"/>
    <w:rsid w:val="070A2ACD"/>
    <w:rsid w:val="083A7F64"/>
    <w:rsid w:val="0915037C"/>
    <w:rsid w:val="09637F27"/>
    <w:rsid w:val="0B1706FB"/>
    <w:rsid w:val="0FFB8297"/>
    <w:rsid w:val="11045EFC"/>
    <w:rsid w:val="159D4929"/>
    <w:rsid w:val="1A255D39"/>
    <w:rsid w:val="1B034015"/>
    <w:rsid w:val="1B910A6A"/>
    <w:rsid w:val="1D0B456D"/>
    <w:rsid w:val="20BE0B17"/>
    <w:rsid w:val="20CD55BF"/>
    <w:rsid w:val="22CF77BF"/>
    <w:rsid w:val="252A5445"/>
    <w:rsid w:val="26C911D6"/>
    <w:rsid w:val="28A66FD2"/>
    <w:rsid w:val="29C76A3D"/>
    <w:rsid w:val="2AA12CE4"/>
    <w:rsid w:val="2B750388"/>
    <w:rsid w:val="2DCC1407"/>
    <w:rsid w:val="2FFFB3CF"/>
    <w:rsid w:val="313C3C3D"/>
    <w:rsid w:val="32F732F0"/>
    <w:rsid w:val="331B60C5"/>
    <w:rsid w:val="34DFCF01"/>
    <w:rsid w:val="366BEF1C"/>
    <w:rsid w:val="36FFC3E8"/>
    <w:rsid w:val="387942BC"/>
    <w:rsid w:val="3A72C831"/>
    <w:rsid w:val="3ACB1977"/>
    <w:rsid w:val="3F5D2F5F"/>
    <w:rsid w:val="3F77846F"/>
    <w:rsid w:val="3FFB7622"/>
    <w:rsid w:val="40BD41A8"/>
    <w:rsid w:val="424D56DB"/>
    <w:rsid w:val="43EE49CD"/>
    <w:rsid w:val="45FA7836"/>
    <w:rsid w:val="49293049"/>
    <w:rsid w:val="4AA56846"/>
    <w:rsid w:val="4D6A14BC"/>
    <w:rsid w:val="4DEF72B1"/>
    <w:rsid w:val="4E766069"/>
    <w:rsid w:val="4EC03801"/>
    <w:rsid w:val="4FC4B327"/>
    <w:rsid w:val="5656BFB2"/>
    <w:rsid w:val="56DC10AC"/>
    <w:rsid w:val="5777D2DB"/>
    <w:rsid w:val="57BFF953"/>
    <w:rsid w:val="58D416C8"/>
    <w:rsid w:val="5A9D3CA9"/>
    <w:rsid w:val="5B15377B"/>
    <w:rsid w:val="5BA3FEFA"/>
    <w:rsid w:val="5BDC3093"/>
    <w:rsid w:val="5C7C1F33"/>
    <w:rsid w:val="5CFF53C3"/>
    <w:rsid w:val="5DBD0FC9"/>
    <w:rsid w:val="5FF751D1"/>
    <w:rsid w:val="5FFABAF5"/>
    <w:rsid w:val="5FFFC675"/>
    <w:rsid w:val="630C3166"/>
    <w:rsid w:val="6C84621A"/>
    <w:rsid w:val="6CFCCE65"/>
    <w:rsid w:val="6E694EB5"/>
    <w:rsid w:val="6EB1A0FF"/>
    <w:rsid w:val="6FBBE5C1"/>
    <w:rsid w:val="70251E05"/>
    <w:rsid w:val="70610059"/>
    <w:rsid w:val="71CF128A"/>
    <w:rsid w:val="71F34C66"/>
    <w:rsid w:val="73DFA858"/>
    <w:rsid w:val="743A4DEC"/>
    <w:rsid w:val="74705D56"/>
    <w:rsid w:val="75D55D6A"/>
    <w:rsid w:val="75F3D6D3"/>
    <w:rsid w:val="76F7D773"/>
    <w:rsid w:val="776710F0"/>
    <w:rsid w:val="7790745B"/>
    <w:rsid w:val="77EE7DCC"/>
    <w:rsid w:val="78B438E3"/>
    <w:rsid w:val="79FF8BD9"/>
    <w:rsid w:val="7B6C6CCE"/>
    <w:rsid w:val="7BFFBE00"/>
    <w:rsid w:val="7CFDEC56"/>
    <w:rsid w:val="7E3E7A1F"/>
    <w:rsid w:val="7E6F6F61"/>
    <w:rsid w:val="7EDFEE53"/>
    <w:rsid w:val="7F42678F"/>
    <w:rsid w:val="7F57425B"/>
    <w:rsid w:val="7F5FDE25"/>
    <w:rsid w:val="7FAFD34B"/>
    <w:rsid w:val="7FC60558"/>
    <w:rsid w:val="7FE174D1"/>
    <w:rsid w:val="7FFF9608"/>
    <w:rsid w:val="8DEF4BED"/>
    <w:rsid w:val="8FDF7E1C"/>
    <w:rsid w:val="9ECFFF2A"/>
    <w:rsid w:val="AE7998D5"/>
    <w:rsid w:val="B3ED2BAB"/>
    <w:rsid w:val="B76F48FC"/>
    <w:rsid w:val="B9778052"/>
    <w:rsid w:val="BBBF120F"/>
    <w:rsid w:val="BCE733E9"/>
    <w:rsid w:val="BEEF3D86"/>
    <w:rsid w:val="BEFF94B7"/>
    <w:rsid w:val="BF554E24"/>
    <w:rsid w:val="BFAE2345"/>
    <w:rsid w:val="BFCFE202"/>
    <w:rsid w:val="CDFB0EE6"/>
    <w:rsid w:val="D3F7DEAD"/>
    <w:rsid w:val="D4FFEE2B"/>
    <w:rsid w:val="D7FB1CF2"/>
    <w:rsid w:val="D9FFB250"/>
    <w:rsid w:val="DB3F17A2"/>
    <w:rsid w:val="DC8F3C70"/>
    <w:rsid w:val="DFF9E487"/>
    <w:rsid w:val="DFFE3FED"/>
    <w:rsid w:val="DFFFDE90"/>
    <w:rsid w:val="E5E7989C"/>
    <w:rsid w:val="E937CF92"/>
    <w:rsid w:val="E9D3E216"/>
    <w:rsid w:val="EAD9CEDE"/>
    <w:rsid w:val="EDF88E9E"/>
    <w:rsid w:val="EFDF43B5"/>
    <w:rsid w:val="EFFE26B5"/>
    <w:rsid w:val="F3BC2E54"/>
    <w:rsid w:val="F59FA66D"/>
    <w:rsid w:val="F5E38D58"/>
    <w:rsid w:val="F7FDDD5D"/>
    <w:rsid w:val="FA7C6AC2"/>
    <w:rsid w:val="FBB72461"/>
    <w:rsid w:val="FBE76E59"/>
    <w:rsid w:val="FBEFCBBD"/>
    <w:rsid w:val="FBFDEF28"/>
    <w:rsid w:val="FC2F2C1E"/>
    <w:rsid w:val="FCB14533"/>
    <w:rsid w:val="FD9B4854"/>
    <w:rsid w:val="FDBEDEEF"/>
    <w:rsid w:val="FE337CDF"/>
    <w:rsid w:val="FF3FEB6A"/>
    <w:rsid w:val="FF7B3224"/>
    <w:rsid w:val="FF7BA291"/>
    <w:rsid w:val="FFBF31AA"/>
    <w:rsid w:val="FFE65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szCs w:val="24"/>
    </w:rPr>
  </w:style>
  <w:style w:type="paragraph" w:styleId="6">
    <w:name w:val="annotation text"/>
    <w:basedOn w:val="1"/>
    <w:qFormat/>
    <w:uiPriority w:val="0"/>
    <w:pPr>
      <w:jc w:val="left"/>
    </w:pPr>
  </w:style>
  <w:style w:type="paragraph" w:styleId="7">
    <w:name w:val="index 6"/>
    <w:basedOn w:val="1"/>
    <w:next w:val="1"/>
    <w:qFormat/>
    <w:uiPriority w:val="0"/>
    <w:pPr>
      <w:ind w:left="2100"/>
    </w:p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footer"/>
    <w:basedOn w:val="1"/>
    <w:qFormat/>
    <w:uiPriority w:val="0"/>
    <w:pPr>
      <w:tabs>
        <w:tab w:val="center" w:pos="4153"/>
        <w:tab w:val="right" w:pos="8307"/>
      </w:tabs>
      <w:snapToGrid w:val="0"/>
      <w:jc w:val="left"/>
    </w:pPr>
    <w:rPr>
      <w:sz w:val="18"/>
    </w:rPr>
  </w:style>
  <w:style w:type="paragraph" w:styleId="11">
    <w:name w:val="header"/>
    <w:basedOn w:val="1"/>
    <w:qFormat/>
    <w:uiPriority w:val="0"/>
    <w:pPr>
      <w:pBdr>
        <w:bottom w:val="single" w:color="auto" w:sz="6" w:space="1"/>
      </w:pBdr>
      <w:tabs>
        <w:tab w:val="center" w:pos="4153"/>
        <w:tab w:val="right" w:pos="8307"/>
      </w:tabs>
      <w:snapToGrid w:val="0"/>
      <w:jc w:val="center"/>
    </w:pPr>
    <w:rPr>
      <w:sz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widowControl/>
      <w:spacing w:before="240" w:after="60"/>
      <w:jc w:val="center"/>
      <w:outlineLvl w:val="0"/>
    </w:pPr>
    <w:rPr>
      <w:rFonts w:ascii="Helvetica" w:hAnsi="Helvetica" w:eastAsia="宋体" w:cs="Times New Roman"/>
      <w:b/>
      <w:kern w:val="0"/>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color w:val="0000FF"/>
      <w:u w:val="single"/>
    </w:rPr>
  </w:style>
  <w:style w:type="paragraph" w:customStyle="1" w:styleId="21">
    <w:name w:val="正文文本缩进1"/>
    <w:next w:val="7"/>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正文文本首行缩进1"/>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2188</Words>
  <Characters>2773</Characters>
  <Lines>99</Lines>
  <Paragraphs>41</Paragraphs>
  <TotalTime>7</TotalTime>
  <ScaleCrop>false</ScaleCrop>
  <LinksUpToDate>false</LinksUpToDate>
  <CharactersWithSpaces>2778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2022-08-16T10:02:00Z</dcterms:created>
  <dc:creator>张烨</dc:creator>
  <cp:lastModifiedBy>张都菁</cp:lastModifiedBy>
  <dcterms:modified xsi:type="dcterms:W3CDTF">2025-07-29T15:23:42Z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C09DE392E4F760E3E6204467026A1F04</vt:lpwstr>
  </property>
  <property fmtid="{D5CDD505-2E9C-101B-9397-08002B2CF9AE}" pid="3" name="KSOProductBuildVer">
    <vt:lpwstr>2052-11.8.2.12024</vt:lpwstr>
  </property>
</Properties>
</file>