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216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惠东县白马山和平远县五指石自然保护区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调整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情况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165" w:tblpY="9"/>
        <w:tblOverlap w:val="never"/>
        <w:tblW w:w="50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08"/>
        <w:gridCol w:w="1781"/>
        <w:gridCol w:w="834"/>
        <w:gridCol w:w="1592"/>
        <w:gridCol w:w="1694"/>
        <w:gridCol w:w="1796"/>
        <w:gridCol w:w="300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tblHeader/>
        </w:trPr>
        <w:tc>
          <w:tcPr>
            <w:tcW w:w="381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保护区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98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地理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657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主要保护对象</w:t>
            </w:r>
          </w:p>
        </w:tc>
        <w:tc>
          <w:tcPr>
            <w:tcW w:w="307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调整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587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调整原因</w:t>
            </w:r>
          </w:p>
        </w:tc>
        <w:tc>
          <w:tcPr>
            <w:tcW w:w="625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原三区面积</w:t>
            </w:r>
          </w:p>
        </w:tc>
        <w:tc>
          <w:tcPr>
            <w:tcW w:w="662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调整后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三区面积</w:t>
            </w:r>
          </w:p>
        </w:tc>
        <w:tc>
          <w:tcPr>
            <w:tcW w:w="1106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调整后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四至范围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tblHeader/>
        </w:trPr>
        <w:tc>
          <w:tcPr>
            <w:tcW w:w="381" w:type="pct"/>
            <w:vAlign w:val="center"/>
          </w:tcPr>
          <w:p>
            <w:pPr>
              <w:pStyle w:val="2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惠东县白马山县级自然保护区</w:t>
            </w:r>
          </w:p>
        </w:tc>
        <w:tc>
          <w:tcPr>
            <w:tcW w:w="298" w:type="pct"/>
            <w:vAlign w:val="center"/>
          </w:tcPr>
          <w:p>
            <w:pPr>
              <w:pStyle w:val="2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广东省惠州市惠东县</w:t>
            </w:r>
          </w:p>
        </w:tc>
        <w:tc>
          <w:tcPr>
            <w:tcW w:w="657" w:type="pct"/>
            <w:vAlign w:val="center"/>
          </w:tcPr>
          <w:p>
            <w:pPr>
              <w:pStyle w:val="2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藏酋猴种群及其栖息地、南亚热带季风常绿阔叶林森林植被和森林生态系统、水源涵养林。</w:t>
            </w:r>
          </w:p>
        </w:tc>
        <w:tc>
          <w:tcPr>
            <w:tcW w:w="307" w:type="pct"/>
            <w:vAlign w:val="center"/>
          </w:tcPr>
          <w:p>
            <w:pPr>
              <w:pStyle w:val="2"/>
              <w:snapToGrid w:val="0"/>
              <w:spacing w:after="0" w:line="240" w:lineRule="auto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范围和功能区调整</w:t>
            </w:r>
          </w:p>
        </w:tc>
        <w:tc>
          <w:tcPr>
            <w:tcW w:w="587" w:type="pct"/>
            <w:vAlign w:val="center"/>
          </w:tcPr>
          <w:p>
            <w:pPr>
              <w:pStyle w:val="2"/>
              <w:snapToGrid w:val="0"/>
              <w:spacing w:after="0" w:line="240" w:lineRule="auto"/>
              <w:jc w:val="left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highlight w:val="none"/>
                <w:lang w:eastAsia="zh-CN"/>
              </w:rPr>
              <w:t>因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val="en-US" w:eastAsia="zh-CN"/>
              </w:rPr>
              <w:t>省重点项目深汕合作区引水工程建设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lang w:eastAsia="zh-CN"/>
              </w:rPr>
              <w:t>需要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lang w:eastAsia="zh-CN"/>
              </w:rPr>
              <w:t>调整保护区范围和功能区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</w:pP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总面积9329.87</w:t>
            </w:r>
          </w:p>
          <w:p>
            <w:pPr>
              <w:widowControl/>
              <w:snapToGrid w:val="0"/>
              <w:spacing w:line="240" w:lineRule="auto"/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公顷；核心区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3651.88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公顷，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缓冲区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1651.60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公顷，实验区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4026.39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662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总面积9329.87公顷；核心区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3651.88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公顷，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缓冲区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1651.60</w:t>
            </w:r>
            <w:r>
              <w:rPr>
                <w:rFonts w:hint="default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公顷，实验区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4026.39</w:t>
            </w:r>
            <w:r>
              <w:rPr>
                <w:rFonts w:hint="eastAsia" w:ascii="Times New Roman" w:hAnsi="Times New Roman" w:eastAsia="仿宋"/>
                <w:sz w:val="24"/>
                <w:highlight w:val="none"/>
                <w:vertAlign w:val="baseline"/>
                <w:lang w:val="en-US" w:eastAsia="zh-CN"/>
              </w:rPr>
              <w:t>公顷。</w:t>
            </w:r>
          </w:p>
        </w:tc>
        <w:tc>
          <w:tcPr>
            <w:tcW w:w="1106" w:type="pct"/>
            <w:vAlign w:val="center"/>
          </w:tcPr>
          <w:p>
            <w:pPr>
              <w:pStyle w:val="2"/>
              <w:snapToGrid w:val="0"/>
              <w:spacing w:after="0" w:line="240" w:lineRule="auto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白马山片区：东经 115°03′16.54″~115°11′41.80″；北纬 22°59′37.30″~23°05′36.36″</w:t>
            </w:r>
          </w:p>
          <w:p>
            <w:pPr>
              <w:pStyle w:val="2"/>
              <w:snapToGrid w:val="0"/>
              <w:spacing w:after="0" w:line="240" w:lineRule="auto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白石岗片区：东经 115°10′8.29″~115°10′20.41″；北纬 23°08′45.89″~23°08′54.84″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napToGrid w:val="0"/>
              <w:spacing w:after="0" w:line="24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vertAlign w:val="baseline"/>
                <w:lang w:val="en-US" w:eastAsia="zh-CN"/>
              </w:rPr>
              <w:t>惠州市人民政府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</w:trPr>
        <w:tc>
          <w:tcPr>
            <w:tcW w:w="381" w:type="pct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平远</w:t>
            </w:r>
            <w:r>
              <w:rPr>
                <w:rFonts w:hint="eastAsia" w:ascii="Times New Roman" w:hAnsi="Times New Roman" w:eastAsia="仿宋"/>
                <w:sz w:val="24"/>
                <w:vertAlign w:val="baseli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五指石市级自然保护区</w:t>
            </w:r>
          </w:p>
        </w:tc>
        <w:tc>
          <w:tcPr>
            <w:tcW w:w="298" w:type="pct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广东省梅州市平远县</w:t>
            </w:r>
          </w:p>
        </w:tc>
        <w:tc>
          <w:tcPr>
            <w:tcW w:w="657" w:type="pct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亚热带常绿阔叶林森林生态系统，国家和广东省重点保护及珍稀濒危野生动植物资源，水源涵养林</w:t>
            </w:r>
          </w:p>
        </w:tc>
        <w:tc>
          <w:tcPr>
            <w:tcW w:w="307" w:type="pct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范围和功能区调整</w:t>
            </w:r>
          </w:p>
        </w:tc>
        <w:tc>
          <w:tcPr>
            <w:tcW w:w="587" w:type="pct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lang w:eastAsia="zh-CN"/>
              </w:rPr>
              <w:t>因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省重点项目梅州平远至福建武平高速公路工程建设</w:t>
            </w:r>
            <w:r>
              <w:rPr>
                <w:rFonts w:hint="default" w:ascii="Times New Roman" w:hAnsi="Times New Roman" w:eastAsia="仿宋"/>
                <w:sz w:val="24"/>
                <w:lang w:eastAsia="zh-CN"/>
              </w:rPr>
              <w:t>需要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sz w:val="24"/>
                <w:lang w:eastAsia="zh-CN"/>
              </w:rPr>
              <w:t>调整保护区范围和功能区</w:t>
            </w: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总面积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2162.72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公顷；核心区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857.33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公顷，缓冲区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630.67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公顷，实验区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674.72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公顷。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总面积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2163.40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公顷；核心区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857.33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公顷，缓冲区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631.35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公顷，实验区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674.72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公顷。</w:t>
            </w:r>
          </w:p>
        </w:tc>
        <w:tc>
          <w:tcPr>
            <w:tcW w:w="1106" w:type="pct"/>
            <w:vAlign w:val="center"/>
          </w:tcPr>
          <w:p>
            <w:pPr>
              <w:pStyle w:val="2"/>
              <w:snapToGrid w:val="0"/>
              <w:spacing w:after="0"/>
              <w:jc w:val="left"/>
              <w:rPr>
                <w:rFonts w:hint="eastAsia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东部片区：东经 115°58′28.49″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116°0′5.22″；北纬 24°52′36.35″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24°53′31.96″ </w:t>
            </w:r>
          </w:p>
          <w:p>
            <w:pPr>
              <w:pStyle w:val="2"/>
              <w:snapToGrid w:val="0"/>
              <w:spacing w:after="0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西部片区：东经 115°55′16.36″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115°58′47.77″；北纬 24°52′56.35″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24°55′39.73″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vertAlign w:val="baseline"/>
                <w:lang w:val="en-US" w:eastAsia="zh-CN"/>
              </w:rPr>
              <w:t>梅</w:t>
            </w:r>
            <w:r>
              <w:rPr>
                <w:rFonts w:hint="default" w:ascii="Times New Roman" w:hAnsi="Times New Roman" w:eastAsia="仿宋"/>
                <w:sz w:val="24"/>
                <w:vertAlign w:val="baseline"/>
                <w:lang w:val="en-US" w:eastAsia="zh-CN"/>
              </w:rPr>
              <w:t>州市人民政府</w:t>
            </w:r>
          </w:p>
        </w:tc>
      </w:tr>
    </w:tbl>
    <w:p/>
    <w:sectPr>
      <w:pgSz w:w="16839" w:h="11907" w:orient="landscape"/>
      <w:pgMar w:top="1531" w:right="2098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3B4D"/>
    <w:rsid w:val="6F9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2025-11-13T09:36:00Z</dcterms:created>
  <dc:creator>唐洁</dc:creator>
  <cp:lastModifiedBy>唐洁</cp:lastModifiedBy>
  <dcterms:modified xsi:type="dcterms:W3CDTF">2025-11-13T09:38:41Z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ECB70AC7F8C94076B5156B48193EF71A</vt:lpwstr>
  </property>
</Properties>
</file>