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Calibri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公平竞争审查初步结论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 xml:space="preserve">                                 </w:t>
      </w:r>
      <w:r>
        <w:rPr>
          <w:color w:val="auto"/>
          <w:sz w:val="32"/>
          <w:szCs w:val="32"/>
        </w:rPr>
        <w:t xml:space="preserve">     </w:t>
      </w:r>
      <w:r>
        <w:rPr>
          <w:rFonts w:eastAsia="方正仿宋简体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2018年10月31日</w:t>
      </w:r>
    </w:p>
    <w:tbl>
      <w:tblPr>
        <w:tblStyle w:val="3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0"/>
        <w:gridCol w:w="1230"/>
        <w:gridCol w:w="240"/>
        <w:gridCol w:w="2130"/>
        <w:gridCol w:w="1035"/>
        <w:gridCol w:w="13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政策措施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称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广东省古树公园建设验收办法（草案）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涉及行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域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林业等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质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□地方性法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草案       □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章草案      </w:t>
            </w:r>
          </w:p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MS Gothic" w:hAnsi="MS Gothic" w:eastAsia="MS Gothic"/>
                <w:color w:val="auto"/>
                <w:sz w:val="32"/>
                <w:szCs w:val="32"/>
              </w:rPr>
              <w:t>☑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范性文件           □其他政策措施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起草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广东省绿化委员会办公室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刘飒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020—81811527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审查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广东省林业厅政策法规处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代欣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020—81833552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□征求利害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系人意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MS Gothic" w:hAnsi="MS Gothic" w:eastAsia="MS Gothic"/>
                <w:color w:val="auto"/>
                <w:sz w:val="32"/>
                <w:szCs w:val="32"/>
              </w:rPr>
              <w:t>☑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向社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开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具体情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时间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象、意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馈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和采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）：</w:t>
            </w:r>
          </w:p>
          <w:p>
            <w:pPr>
              <w:spacing w:line="58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580" w:lineRule="exact"/>
              <w:ind w:firstLine="4480" w:firstLineChars="1400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（可附相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告）</w:t>
            </w:r>
          </w:p>
          <w:p>
            <w:pPr>
              <w:spacing w:line="580" w:lineRule="exact"/>
              <w:jc w:val="righ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家咨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询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（可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选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  </w:t>
            </w: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（可附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家意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见书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</w:t>
            </w:r>
          </w:p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影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响评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一、是否违反市场准入与退出标准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置不合理和歧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性的准入和退出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2.未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公平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授予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者特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许经营权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3.限定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购买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、使用特定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者提供的商品和服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依据的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批或者事前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案程序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准入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负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面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清单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以外的行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域、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业务设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批程序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二、是否违反商品要素自由流通标准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外地和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实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性价格或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补贴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政策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2.限制外地和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入本地市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或阻碍本地商品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运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出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3.排斥或限制外地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参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加本地招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4.排斥限制或强制外地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立分支机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外地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立的分支机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构实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性待遇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三、是否违反影响生产经营成本标准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给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予特定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优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惠政策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将财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政支出安排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业缴纳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收或非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收入挂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钩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法免除特定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者需要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缴纳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的社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险费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法要求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者提供各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类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金或扣留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金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四、是否违反影响生产经营行为标准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1.强制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事《反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法》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定的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为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法披露或者要求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者披露生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产经营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敏感信息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3.超越定价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限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行政府定价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法干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预实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场调节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价的商品服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价格水平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五、是否违反兜底条款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依据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减损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主体合法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益或者增加其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义务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反《反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法》制定含有排除限制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竞争内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容的政策措施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准的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结论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详细说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明情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无</w:t>
            </w:r>
          </w:p>
          <w:p>
            <w:pPr>
              <w:spacing w:line="400" w:lineRule="exact"/>
              <w:ind w:right="160"/>
              <w:jc w:val="righ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（可附相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适用例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定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是□      否</w:t>
            </w:r>
            <w:r>
              <w:rPr>
                <w:rFonts w:hint="eastAsia" w:ascii="MS Gothic" w:hAnsi="MS Gothic" w:eastAsia="MS Gothic"/>
                <w:color w:val="auto"/>
                <w:sz w:val="32"/>
                <w:szCs w:val="32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选择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“是”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时详细说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明理由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其他需要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明的情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无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主要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负责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人意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ind w:firstLine="1440" w:firstLineChars="450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字：             盖章：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2098" w:right="1361" w:bottom="1587" w:left="153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6A16"/>
    <w:rsid w:val="6A0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2018-11-01T01:35:00Z</dcterms:created>
  <dc:creator>黄丽莉</dc:creator>
  <cp:lastModifiedBy>黄丽莉</cp:lastModifiedBy>
  <dcterms:modified xsi:type="dcterms:W3CDTF">2018-11-01T01:35:19Z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