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Calibri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公平竞争审查初步结论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 xml:space="preserve">                                 </w:t>
      </w:r>
      <w:r>
        <w:rPr>
          <w:color w:val="auto"/>
          <w:sz w:val="32"/>
          <w:szCs w:val="32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2018年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"/>
        <w:gridCol w:w="1230"/>
        <w:gridCol w:w="240"/>
        <w:gridCol w:w="2130"/>
        <w:gridCol w:w="1035"/>
        <w:gridCol w:w="173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政策措施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《关于森林旅游发展的意见</w:t>
            </w: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  <w:lang w:val="en-US" w:eastAsia="zh-CN"/>
              </w:rPr>
              <w:t>草案）</w:t>
            </w:r>
            <w:r>
              <w:rPr>
                <w:rFonts w:hint="eastAsia" w:ascii="仿宋" w:hAnsi="仿宋" w:eastAsia="仿宋" w:cs="Calibri"/>
                <w:kern w:val="0"/>
                <w:sz w:val="32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涉及行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域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林业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农业、旅游</w:t>
            </w: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质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□地方性法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草案       □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章草案      </w:t>
            </w:r>
          </w:p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范性文件           □其他政策措施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起草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广东省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  <w:lang w:val="en-US" w:eastAsia="zh-CN"/>
              </w:rPr>
              <w:t>国有林场和森林公园管理局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  <w:lang w:val="en-US" w:eastAsia="zh-CN"/>
              </w:rPr>
              <w:t>江堂龙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020—818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15515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审查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广东省林业厅政策法规处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代欣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020—81833552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□征求利害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系人意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向社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开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具体情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时间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象、意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馈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和采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）：</w:t>
            </w:r>
          </w:p>
          <w:p>
            <w:pPr>
              <w:spacing w:line="58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580" w:lineRule="exact"/>
              <w:ind w:firstLine="4480" w:firstLineChars="140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（可附相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告）</w:t>
            </w:r>
          </w:p>
          <w:p>
            <w:pPr>
              <w:spacing w:line="580" w:lineRule="exact"/>
              <w:jc w:val="righ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家咨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询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</w:t>
            </w: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（可附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家意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见书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影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响评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一、是否违反市场准入与退出标准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置不合理和歧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性的准入和退出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件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2.未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公平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授予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者特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许经营权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3.限定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购买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、使用特定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者提供的商品和服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依据的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批或者事前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案程序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准入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负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面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清单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以外的行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域、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业务设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批程序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二、是否违反商品要素自由流通标准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外地和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性价格或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补贴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政策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2.限制外地和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入本地市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或阻碍本地商品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运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3.排斥或限制外地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参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加本地招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活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4.排斥限制或强制外地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立分支机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外地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立的分支机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性待遇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三、是否违反影响生产经营成本标准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给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予特定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优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惠政策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将财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政支出安排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业缴纳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收或非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收入挂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钩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法免除特定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者需要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缴纳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的社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险费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用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法要求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者提供各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类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金或扣留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金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四、是否违反影响生产经营行为标准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1.强制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从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事《反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法》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定的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法披露或者要求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者披露生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产经营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敏感信息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3.超越定价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限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行政府定价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法干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预实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行市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场调节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价的</w:t>
            </w:r>
            <w:bookmarkStart w:id="0" w:name="_GoBack"/>
            <w:bookmarkEnd w:id="0"/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商品服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价格水平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五、是否违反兜底条款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减损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主体合法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益或者增加其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义务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反《反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法》制定含有排除限制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竞争内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容的政策措施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准的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结论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（如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反，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详细说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无</w:t>
            </w:r>
          </w:p>
          <w:p>
            <w:pPr>
              <w:spacing w:line="400" w:lineRule="exact"/>
              <w:ind w:right="160"/>
              <w:jc w:val="righ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 xml:space="preserve">                    （可附相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适用例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外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定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是□      否</w:t>
            </w:r>
            <w:r>
              <w:rPr>
                <w:rFonts w:hint="eastAsia" w:ascii="MS Gothic" w:hAnsi="MS Gothic" w:eastAsia="MS Gothic"/>
                <w:color w:val="auto"/>
                <w:sz w:val="32"/>
                <w:szCs w:val="32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选择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“是”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时详细说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明理由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其他需要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说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明的情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况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无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审查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构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主要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负责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人意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见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ind w:firstLine="1440" w:firstLineChars="450"/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签</w:t>
            </w:r>
            <w:r>
              <w:rPr>
                <w:rFonts w:hint="eastAsia" w:ascii="仿宋_GB2312" w:hAnsi="Gulim" w:eastAsia="仿宋_GB2312"/>
                <w:color w:val="auto"/>
                <w:sz w:val="32"/>
                <w:szCs w:val="32"/>
              </w:rPr>
              <w:t>字：             盖章：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color w:val="auto"/>
                <w:sz w:val="32"/>
                <w:szCs w:val="32"/>
              </w:rPr>
            </w:pPr>
          </w:p>
        </w:tc>
      </w:tr>
    </w:tbl>
    <w:p/>
    <w:sectPr>
      <w:pgSz w:w="12240" w:h="15840"/>
      <w:pgMar w:top="2098" w:right="1361" w:bottom="1587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6A16"/>
    <w:rsid w:val="0FE31A69"/>
    <w:rsid w:val="158E38AA"/>
    <w:rsid w:val="19BF27A5"/>
    <w:rsid w:val="3A0B76A3"/>
    <w:rsid w:val="6A026A16"/>
    <w:rsid w:val="7F6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2018-11-01T01:35:00Z</dcterms:created>
  <dc:creator>黄丽莉</dc:creator>
  <cp:lastModifiedBy>谢万燕</cp:lastModifiedBy>
  <dcterms:modified xsi:type="dcterms:W3CDTF">2018-11-13T01:47:12Z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